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EED7" w14:textId="77777777" w:rsidR="00EE09CE" w:rsidRDefault="009C147B">
      <w:pPr>
        <w:pStyle w:val="Heading3"/>
        <w:spacing w:before="68"/>
        <w:ind w:left="107" w:firstLine="0"/>
      </w:pPr>
      <w:bookmarkStart w:id="0" w:name="_GoBack"/>
      <w:bookmarkEnd w:id="0"/>
      <w:r>
        <w:t>Patient Care (32%)</w:t>
      </w:r>
    </w:p>
    <w:p w14:paraId="11C27FDB" w14:textId="77777777" w:rsidR="00EE09CE" w:rsidRDefault="00EE09CE">
      <w:pPr>
        <w:pStyle w:val="BodyText"/>
        <w:rPr>
          <w:b/>
        </w:rPr>
      </w:pPr>
    </w:p>
    <w:p w14:paraId="6DAFAE8D" w14:textId="77777777" w:rsidR="00EE09CE" w:rsidRDefault="009C147B">
      <w:pPr>
        <w:pStyle w:val="ListParagraph"/>
        <w:numPr>
          <w:ilvl w:val="0"/>
          <w:numId w:val="1"/>
        </w:numPr>
        <w:tabs>
          <w:tab w:val="left" w:pos="293"/>
        </w:tabs>
        <w:spacing w:before="1"/>
        <w:ind w:hanging="184"/>
        <w:rPr>
          <w:b/>
        </w:rPr>
      </w:pPr>
      <w:r>
        <w:rPr>
          <w:b/>
        </w:rPr>
        <w:t>Summary</w:t>
      </w:r>
    </w:p>
    <w:p w14:paraId="07C847B2" w14:textId="77777777" w:rsidR="00EE09CE" w:rsidRDefault="00EE09CE">
      <w:pPr>
        <w:pStyle w:val="BodyText"/>
        <w:rPr>
          <w:b/>
        </w:rPr>
      </w:pPr>
    </w:p>
    <w:p w14:paraId="29731D81" w14:textId="689E9E18" w:rsidR="00EE09CE" w:rsidRDefault="009C147B">
      <w:pPr>
        <w:pStyle w:val="BodyText"/>
        <w:ind w:left="107" w:right="159"/>
      </w:pPr>
      <w:r>
        <w:t xml:space="preserve">Dr. </w:t>
      </w:r>
      <w:r w:rsidR="00F37E86">
        <w:t>****</w:t>
      </w:r>
      <w:r>
        <w:t xml:space="preserve"> has been actively engaged in direct patient care and related clinical service, currently spending 32% of her time on clinical endeavors. She is a clinical and teaching attending physician for both inpatient and outpatient services providing care for patie</w:t>
      </w:r>
      <w:r>
        <w:t xml:space="preserve">nts with diseases of the immune system including environmental allergies, food allergies, drug/venom allergies, asthma, atopic dermatitis, eosinophilic disorders and primary immunodeficiency. </w:t>
      </w:r>
      <w:proofErr w:type="gramStart"/>
      <w:r>
        <w:t xml:space="preserve">Dr. </w:t>
      </w:r>
      <w:r w:rsidR="00F37E86">
        <w:t>****</w:t>
      </w:r>
      <w:r>
        <w:t xml:space="preserve"> is committed to providing all patients and families wit</w:t>
      </w:r>
      <w:r>
        <w:t>h state-of-the-art, family and patient-centered care; she has also been a committed advocate for advancing health in Arkansas and beyond, including playing an instrumental role in public health and legislative advocacy resulting in the addition of statewid</w:t>
      </w:r>
      <w:r>
        <w:t xml:space="preserve">e newborn screening for Severe Combined Immune Deficiency (SCID) and disorders of T-cell </w:t>
      </w:r>
      <w:proofErr w:type="spellStart"/>
      <w:r>
        <w:t>Lymphopenia</w:t>
      </w:r>
      <w:proofErr w:type="spellEnd"/>
      <w:r>
        <w:t xml:space="preserve"> to the Arkansas Newborn Screening Panel.</w:t>
      </w:r>
      <w:proofErr w:type="gramEnd"/>
      <w:r>
        <w:t xml:space="preserve"> In addition, Dr. </w:t>
      </w:r>
      <w:r w:rsidR="00F37E86">
        <w:t>****</w:t>
      </w:r>
      <w:r>
        <w:t xml:space="preserve"> is the Medical Director of the Arkansas Children’s Immunology Clinic and Newborn Screening F</w:t>
      </w:r>
      <w:r>
        <w:t xml:space="preserve">ollow-up Program. Dr. </w:t>
      </w:r>
      <w:r w:rsidR="00F37E86">
        <w:t>****</w:t>
      </w:r>
      <w:r>
        <w:t xml:space="preserve"> currently serves as a clinical liaison to the Arkansas Children’s Special Immunology Laboratory, providing input and advice on immunologic assays performed in the lab, with particular expertise in flow cytometry.</w:t>
      </w:r>
    </w:p>
    <w:p w14:paraId="403FAD4A" w14:textId="77777777" w:rsidR="00EE09CE" w:rsidRDefault="00EE09CE">
      <w:pPr>
        <w:pStyle w:val="BodyText"/>
        <w:spacing w:before="8"/>
        <w:rPr>
          <w:sz w:val="21"/>
        </w:rPr>
      </w:pPr>
    </w:p>
    <w:p w14:paraId="65E7B809" w14:textId="04FAD7D0" w:rsidR="00EE09CE" w:rsidRDefault="009C147B">
      <w:pPr>
        <w:pStyle w:val="BodyText"/>
        <w:spacing w:before="1"/>
        <w:ind w:left="107" w:right="123"/>
      </w:pPr>
      <w:r>
        <w:t xml:space="preserve">Dr. </w:t>
      </w:r>
      <w:r w:rsidR="00F37E86">
        <w:t>****</w:t>
      </w:r>
      <w:r>
        <w:t xml:space="preserve"> is a n</w:t>
      </w:r>
      <w:r>
        <w:t xml:space="preserve">ationally recognized expert in diagnosis and management of food allergy and related disorders.  She has been involved in the investigation of novel therapeutic approaches for food allergy for her entire career, and this work has informed her contributions </w:t>
      </w:r>
      <w:r>
        <w:t xml:space="preserve">to the development and implementation of the clinical oral immunotherapy (OIT) program for food allergy following FDA approval of </w:t>
      </w:r>
      <w:proofErr w:type="spellStart"/>
      <w:r>
        <w:t>Palforzia</w:t>
      </w:r>
      <w:proofErr w:type="spellEnd"/>
      <w:r>
        <w:t>® (peanut OIT) for use in clinical practice. She is also the Principal Investigator and Director for the Food Allergy</w:t>
      </w:r>
      <w:r>
        <w:t xml:space="preserve"> Research and Education (FARE) Clinical Network Discovery Center of Distinction at Arkansas Children’s, which allows for implementation of state-of-the-art, evidence-based protocols and resources through the FARE Clinical Network to improve care for patien</w:t>
      </w:r>
      <w:r>
        <w:t>ts and families burdened by food allergy. These resources include access to a patient care registry, patient and family educational resources and network support, and access to innovative research and novel therapies for food allergic individuals.</w:t>
      </w:r>
    </w:p>
    <w:p w14:paraId="058C2E67" w14:textId="77777777" w:rsidR="00EE09CE" w:rsidRDefault="00EE09CE">
      <w:pPr>
        <w:pStyle w:val="BodyText"/>
      </w:pPr>
    </w:p>
    <w:p w14:paraId="6DDCE5EE" w14:textId="77777777" w:rsidR="00EE09CE" w:rsidRDefault="009C147B">
      <w:pPr>
        <w:pStyle w:val="Heading3"/>
        <w:numPr>
          <w:ilvl w:val="0"/>
          <w:numId w:val="1"/>
        </w:numPr>
        <w:tabs>
          <w:tab w:val="left" w:pos="356"/>
        </w:tabs>
        <w:spacing w:before="1"/>
        <w:ind w:left="355" w:hanging="247"/>
      </w:pPr>
      <w:r>
        <w:t>Current</w:t>
      </w:r>
      <w:r>
        <w:t xml:space="preserve"> Clinical Care</w:t>
      </w:r>
      <w:r>
        <w:rPr>
          <w:spacing w:val="-12"/>
        </w:rPr>
        <w:t xml:space="preserve"> </w:t>
      </w:r>
      <w:r>
        <w:t>Allotment:</w:t>
      </w:r>
    </w:p>
    <w:p w14:paraId="4E6DC45C" w14:textId="77777777" w:rsidR="00EE09CE" w:rsidRDefault="009C147B">
      <w:pPr>
        <w:pStyle w:val="ListParagraph"/>
        <w:numPr>
          <w:ilvl w:val="1"/>
          <w:numId w:val="1"/>
        </w:numPr>
        <w:tabs>
          <w:tab w:val="left" w:pos="1548"/>
          <w:tab w:val="left" w:pos="1549"/>
        </w:tabs>
        <w:spacing w:before="1" w:line="252" w:lineRule="exact"/>
        <w:ind w:left="1548" w:hanging="720"/>
        <w:jc w:val="left"/>
      </w:pPr>
      <w:r>
        <w:t>Inpatient Allergy/Immunology Service: 8 weeks per</w:t>
      </w:r>
      <w:r>
        <w:rPr>
          <w:spacing w:val="-17"/>
        </w:rPr>
        <w:t xml:space="preserve"> </w:t>
      </w:r>
      <w:r>
        <w:t>year</w:t>
      </w:r>
    </w:p>
    <w:p w14:paraId="6412E2A6" w14:textId="77777777" w:rsidR="00EE09CE" w:rsidRDefault="009C147B">
      <w:pPr>
        <w:pStyle w:val="ListParagraph"/>
        <w:numPr>
          <w:ilvl w:val="1"/>
          <w:numId w:val="1"/>
        </w:numPr>
        <w:tabs>
          <w:tab w:val="left" w:pos="1548"/>
          <w:tab w:val="left" w:pos="1549"/>
        </w:tabs>
        <w:spacing w:line="252" w:lineRule="exact"/>
        <w:ind w:left="1548" w:hanging="720"/>
        <w:jc w:val="left"/>
      </w:pPr>
      <w:r>
        <w:t>Inpatient Asthma Service: 4 weeks per</w:t>
      </w:r>
      <w:r>
        <w:rPr>
          <w:spacing w:val="-9"/>
        </w:rPr>
        <w:t xml:space="preserve"> </w:t>
      </w:r>
      <w:r>
        <w:t>year</w:t>
      </w:r>
    </w:p>
    <w:p w14:paraId="438DE35B" w14:textId="77777777" w:rsidR="00EE09CE" w:rsidRDefault="009C147B">
      <w:pPr>
        <w:pStyle w:val="ListParagraph"/>
        <w:numPr>
          <w:ilvl w:val="1"/>
          <w:numId w:val="1"/>
        </w:numPr>
        <w:tabs>
          <w:tab w:val="left" w:pos="1548"/>
          <w:tab w:val="left" w:pos="1549"/>
        </w:tabs>
        <w:spacing w:line="252" w:lineRule="exact"/>
        <w:ind w:left="1548" w:hanging="720"/>
        <w:jc w:val="left"/>
      </w:pPr>
      <w:r>
        <w:t>Inpatient Rheumatology Service: 3 weeks over the past year to assist with staff</w:t>
      </w:r>
      <w:r>
        <w:rPr>
          <w:spacing w:val="-21"/>
        </w:rPr>
        <w:t xml:space="preserve"> </w:t>
      </w:r>
      <w:r>
        <w:t>shortage</w:t>
      </w:r>
    </w:p>
    <w:p w14:paraId="3557E6DC" w14:textId="77777777" w:rsidR="00EE09CE" w:rsidRDefault="009C147B">
      <w:pPr>
        <w:pStyle w:val="ListParagraph"/>
        <w:numPr>
          <w:ilvl w:val="1"/>
          <w:numId w:val="1"/>
        </w:numPr>
        <w:tabs>
          <w:tab w:val="left" w:pos="1548"/>
          <w:tab w:val="left" w:pos="1549"/>
        </w:tabs>
        <w:spacing w:before="1" w:line="252" w:lineRule="exact"/>
        <w:ind w:left="1548" w:hanging="720"/>
        <w:jc w:val="left"/>
      </w:pPr>
      <w:r>
        <w:t>Outpatient</w:t>
      </w:r>
      <w:r>
        <w:rPr>
          <w:spacing w:val="-7"/>
        </w:rPr>
        <w:t xml:space="preserve"> </w:t>
      </w:r>
      <w:r>
        <w:t>clinics:</w:t>
      </w:r>
    </w:p>
    <w:p w14:paraId="084066BC" w14:textId="77777777" w:rsidR="00EE09CE" w:rsidRDefault="009C147B">
      <w:pPr>
        <w:pStyle w:val="ListParagraph"/>
        <w:numPr>
          <w:ilvl w:val="2"/>
          <w:numId w:val="1"/>
        </w:numPr>
        <w:tabs>
          <w:tab w:val="left" w:pos="2629"/>
        </w:tabs>
        <w:spacing w:line="252" w:lineRule="exact"/>
        <w:ind w:hanging="360"/>
      </w:pPr>
      <w:r>
        <w:t xml:space="preserve">Arkansas Children’s </w:t>
      </w:r>
      <w:r>
        <w:t>Allergy Clinic (3-4 days/</w:t>
      </w:r>
      <w:r>
        <w:rPr>
          <w:spacing w:val="-13"/>
        </w:rPr>
        <w:t xml:space="preserve"> </w:t>
      </w:r>
      <w:r>
        <w:t>mo.)</w:t>
      </w:r>
    </w:p>
    <w:p w14:paraId="29B1E17C" w14:textId="77777777" w:rsidR="00EE09CE" w:rsidRDefault="009C147B">
      <w:pPr>
        <w:pStyle w:val="ListParagraph"/>
        <w:numPr>
          <w:ilvl w:val="2"/>
          <w:numId w:val="1"/>
        </w:numPr>
        <w:tabs>
          <w:tab w:val="left" w:pos="2629"/>
        </w:tabs>
        <w:spacing w:before="1" w:line="252" w:lineRule="exact"/>
        <w:ind w:hanging="360"/>
      </w:pPr>
      <w:r>
        <w:t>Arkansas Children’s Immunology Clinic (2- 1/2 days/</w:t>
      </w:r>
      <w:r>
        <w:rPr>
          <w:spacing w:val="-15"/>
        </w:rPr>
        <w:t xml:space="preserve"> </w:t>
      </w:r>
      <w:r>
        <w:t>mo.)</w:t>
      </w:r>
    </w:p>
    <w:p w14:paraId="28242BD0" w14:textId="77777777" w:rsidR="00EE09CE" w:rsidRDefault="009C147B">
      <w:pPr>
        <w:pStyle w:val="ListParagraph"/>
        <w:numPr>
          <w:ilvl w:val="2"/>
          <w:numId w:val="1"/>
        </w:numPr>
        <w:tabs>
          <w:tab w:val="left" w:pos="2629"/>
        </w:tabs>
        <w:spacing w:line="252" w:lineRule="exact"/>
        <w:ind w:hanging="360"/>
      </w:pPr>
      <w:r>
        <w:t>Arkansas Children’s Northwest (ACNW) Immunology Clinic – 1-2 per</w:t>
      </w:r>
      <w:r>
        <w:rPr>
          <w:spacing w:val="-21"/>
        </w:rPr>
        <w:t xml:space="preserve"> </w:t>
      </w:r>
      <w:r>
        <w:t>year</w:t>
      </w:r>
    </w:p>
    <w:p w14:paraId="0EB19545" w14:textId="77777777" w:rsidR="00EE09CE" w:rsidRDefault="009C147B">
      <w:pPr>
        <w:pStyle w:val="ListParagraph"/>
        <w:numPr>
          <w:ilvl w:val="1"/>
          <w:numId w:val="1"/>
        </w:numPr>
        <w:tabs>
          <w:tab w:val="left" w:pos="1548"/>
          <w:tab w:val="left" w:pos="1549"/>
        </w:tabs>
        <w:ind w:left="1548" w:right="129" w:hanging="720"/>
        <w:jc w:val="left"/>
      </w:pPr>
      <w:r>
        <w:t>Medical Director, Arkansas Children’s Immunology Clinic and Newborn Screening Follow- Up</w:t>
      </w:r>
      <w:r>
        <w:rPr>
          <w:spacing w:val="-4"/>
        </w:rPr>
        <w:t xml:space="preserve"> </w:t>
      </w:r>
      <w:r>
        <w:t>Program</w:t>
      </w:r>
    </w:p>
    <w:p w14:paraId="4DB82F37" w14:textId="77777777" w:rsidR="00EE09CE" w:rsidRDefault="009C147B">
      <w:pPr>
        <w:pStyle w:val="ListParagraph"/>
        <w:numPr>
          <w:ilvl w:val="1"/>
          <w:numId w:val="1"/>
        </w:numPr>
        <w:tabs>
          <w:tab w:val="left" w:pos="1548"/>
          <w:tab w:val="left" w:pos="1549"/>
        </w:tabs>
        <w:ind w:left="1548" w:right="424" w:hanging="720"/>
        <w:jc w:val="left"/>
      </w:pPr>
      <w:r>
        <w:t>A</w:t>
      </w:r>
      <w:r>
        <w:t>rkansas Department of Health (ADH) Newborn Screening Follow-up Program Clinical Liaison</w:t>
      </w:r>
    </w:p>
    <w:p w14:paraId="2DF81ED5" w14:textId="77777777" w:rsidR="00EE09CE" w:rsidRDefault="009C147B">
      <w:pPr>
        <w:pStyle w:val="ListParagraph"/>
        <w:numPr>
          <w:ilvl w:val="1"/>
          <w:numId w:val="1"/>
        </w:numPr>
        <w:tabs>
          <w:tab w:val="left" w:pos="1548"/>
          <w:tab w:val="left" w:pos="1549"/>
        </w:tabs>
        <w:spacing w:before="1" w:line="252" w:lineRule="exact"/>
        <w:ind w:left="1548" w:hanging="720"/>
        <w:jc w:val="left"/>
      </w:pPr>
      <w:r>
        <w:t>Clinical Consultant and Liaison: Arkansas Children’s Special Immunology</w:t>
      </w:r>
      <w:r>
        <w:rPr>
          <w:spacing w:val="-27"/>
        </w:rPr>
        <w:t xml:space="preserve"> </w:t>
      </w:r>
      <w:r>
        <w:t>Laboratory</w:t>
      </w:r>
    </w:p>
    <w:p w14:paraId="22C3A0A8" w14:textId="77777777" w:rsidR="00EE09CE" w:rsidRDefault="00EE09CE">
      <w:pPr>
        <w:pStyle w:val="BodyText"/>
        <w:spacing w:before="3"/>
      </w:pPr>
    </w:p>
    <w:p w14:paraId="45F70740" w14:textId="7D424045" w:rsidR="00EE09CE" w:rsidRDefault="009C147B">
      <w:pPr>
        <w:pStyle w:val="Heading3"/>
        <w:numPr>
          <w:ilvl w:val="0"/>
          <w:numId w:val="1"/>
        </w:numPr>
        <w:tabs>
          <w:tab w:val="left" w:pos="415"/>
        </w:tabs>
        <w:ind w:left="414" w:hanging="306"/>
      </w:pPr>
      <w:r>
        <w:t>Specialized Clinical Service Provided by Dr.</w:t>
      </w:r>
      <w:r>
        <w:rPr>
          <w:spacing w:val="-10"/>
        </w:rPr>
        <w:t xml:space="preserve"> </w:t>
      </w:r>
      <w:r w:rsidR="00F37E86">
        <w:t>****</w:t>
      </w:r>
    </w:p>
    <w:p w14:paraId="30DE0143" w14:textId="77777777" w:rsidR="00EE09CE" w:rsidRDefault="009C147B">
      <w:pPr>
        <w:pStyle w:val="ListParagraph"/>
        <w:numPr>
          <w:ilvl w:val="1"/>
          <w:numId w:val="1"/>
        </w:numPr>
        <w:tabs>
          <w:tab w:val="left" w:pos="1250"/>
          <w:tab w:val="left" w:pos="1251"/>
        </w:tabs>
        <w:spacing w:before="128"/>
        <w:ind w:hanging="422"/>
        <w:jc w:val="left"/>
        <w:rPr>
          <w:b/>
        </w:rPr>
      </w:pPr>
      <w:r>
        <w:rPr>
          <w:b/>
        </w:rPr>
        <w:t xml:space="preserve">State of the </w:t>
      </w:r>
      <w:r>
        <w:rPr>
          <w:b/>
          <w:spacing w:val="-3"/>
        </w:rPr>
        <w:t xml:space="preserve">Art </w:t>
      </w:r>
      <w:r>
        <w:rPr>
          <w:b/>
        </w:rPr>
        <w:t>Clinical Care for</w:t>
      </w:r>
      <w:r>
        <w:rPr>
          <w:b/>
        </w:rPr>
        <w:t xml:space="preserve"> Food</w:t>
      </w:r>
      <w:r>
        <w:rPr>
          <w:b/>
          <w:spacing w:val="-2"/>
        </w:rPr>
        <w:t xml:space="preserve"> </w:t>
      </w:r>
      <w:r>
        <w:rPr>
          <w:b/>
        </w:rPr>
        <w:t>Allergy</w:t>
      </w:r>
    </w:p>
    <w:p w14:paraId="4FE3271A" w14:textId="0E05E8DD" w:rsidR="00EE09CE" w:rsidRDefault="009C147B">
      <w:pPr>
        <w:pStyle w:val="BodyText"/>
        <w:spacing w:before="123"/>
        <w:ind w:left="1908" w:right="99"/>
      </w:pPr>
      <w:r>
        <w:t xml:space="preserve">The Allergy and Immunology Service at Arkansas Children’s Hospital serves as a referral center for a seven-state region (AR, MS, LA, TN, TX, OK, </w:t>
      </w:r>
      <w:proofErr w:type="gramStart"/>
      <w:r>
        <w:t>MO</w:t>
      </w:r>
      <w:proofErr w:type="gramEnd"/>
      <w:r>
        <w:t xml:space="preserve">) for children with food allergy. Dr. </w:t>
      </w:r>
      <w:r w:rsidR="00F37E86">
        <w:t>****</w:t>
      </w:r>
      <w:r>
        <w:t xml:space="preserve"> is nationally and regionally recognized for her clin</w:t>
      </w:r>
      <w:r>
        <w:t xml:space="preserve">ical and research expertise in food allergy. The services provided by Dr. </w:t>
      </w:r>
      <w:r w:rsidR="00F37E86">
        <w:t>****</w:t>
      </w:r>
      <w:r>
        <w:t xml:space="preserve"> include diagnostic evaluations and allergy testing in the clinic setting as well as oral food challenges in the outpatient Allergy/Immunology Clinic and Pediatric Clinical Resea</w:t>
      </w:r>
      <w:r>
        <w:t xml:space="preserve">rch Unit.  Dr. </w:t>
      </w:r>
      <w:r w:rsidR="00F37E86">
        <w:t>****</w:t>
      </w:r>
      <w:r>
        <w:t xml:space="preserve"> and colleagues conduct approximately 250-300 oral</w:t>
      </w:r>
      <w:r>
        <w:rPr>
          <w:spacing w:val="-21"/>
        </w:rPr>
        <w:t xml:space="preserve"> </w:t>
      </w:r>
      <w:r>
        <w:t>food</w:t>
      </w:r>
    </w:p>
    <w:p w14:paraId="58600063" w14:textId="77777777" w:rsidR="00EE09CE" w:rsidRDefault="00EE09CE">
      <w:pPr>
        <w:sectPr w:rsidR="00EE09CE">
          <w:type w:val="continuous"/>
          <w:pgSz w:w="12240" w:h="15840"/>
          <w:pgMar w:top="940" w:right="940" w:bottom="280" w:left="900" w:header="720" w:footer="720" w:gutter="0"/>
          <w:cols w:space="720"/>
        </w:sectPr>
      </w:pPr>
    </w:p>
    <w:p w14:paraId="75FBBE0A" w14:textId="69D35AE0" w:rsidR="00EE09CE" w:rsidRDefault="009C147B">
      <w:pPr>
        <w:pStyle w:val="BodyText"/>
        <w:spacing w:before="68"/>
        <w:ind w:left="1188" w:right="146"/>
      </w:pPr>
      <w:proofErr w:type="gramStart"/>
      <w:r>
        <w:lastRenderedPageBreak/>
        <w:t>challenges</w:t>
      </w:r>
      <w:proofErr w:type="gramEnd"/>
      <w:r>
        <w:t xml:space="preserve"> per year and serve as consultants for diagnosis and treatment of food allergy to a variety of patients, primary care physicians, and referring allergists. Dr. </w:t>
      </w:r>
      <w:r w:rsidR="00F37E86">
        <w:t>****</w:t>
      </w:r>
      <w:r>
        <w:t xml:space="preserve"> offers state-of-the-art clinical care and provides opportunity for involvement in</w:t>
      </w:r>
      <w:r>
        <w:t xml:space="preserve"> cutting-edge research related to new </w:t>
      </w:r>
      <w:proofErr w:type="spellStart"/>
      <w:r>
        <w:t>immunotherapeutics</w:t>
      </w:r>
      <w:proofErr w:type="spellEnd"/>
      <w:r>
        <w:t xml:space="preserve"> as well as providing ongoing education and advocacy for her patients.  Coordination of care of patients with food allergy is often complex and requires collaboration with multiple other services incl</w:t>
      </w:r>
      <w:r>
        <w:t xml:space="preserve">uding Nutrition, Psychology, Psychiatry, Social Work, Gastroenterology, Otolaryngology, Primary Care Providers and others. Dr. </w:t>
      </w:r>
      <w:r w:rsidR="00F37E86">
        <w:t>****</w:t>
      </w:r>
      <w:r>
        <w:t xml:space="preserve"> is the Principal Investigator and Director of the FARE Clinical Network Discovery Center of Distinction at Arkansas Children</w:t>
      </w:r>
      <w:r>
        <w:t>’s which provides access, advocacy, education, and support for individuals and families with food</w:t>
      </w:r>
      <w:r>
        <w:rPr>
          <w:spacing w:val="-14"/>
        </w:rPr>
        <w:t xml:space="preserve"> </w:t>
      </w:r>
      <w:r>
        <w:t>allergy.</w:t>
      </w:r>
    </w:p>
    <w:p w14:paraId="55B66AEF" w14:textId="77777777" w:rsidR="00EE09CE" w:rsidRDefault="009C147B">
      <w:pPr>
        <w:pStyle w:val="Heading3"/>
        <w:numPr>
          <w:ilvl w:val="1"/>
          <w:numId w:val="1"/>
        </w:numPr>
        <w:tabs>
          <w:tab w:val="left" w:pos="469"/>
        </w:tabs>
        <w:spacing w:before="126" w:line="252" w:lineRule="exact"/>
        <w:ind w:left="468" w:hanging="360"/>
        <w:jc w:val="left"/>
      </w:pPr>
      <w:r>
        <w:t>Primary Immunodeficiency</w:t>
      </w:r>
      <w:r>
        <w:rPr>
          <w:spacing w:val="-7"/>
        </w:rPr>
        <w:t xml:space="preserve"> </w:t>
      </w:r>
      <w:r>
        <w:t>Disorders</w:t>
      </w:r>
    </w:p>
    <w:p w14:paraId="523142D7" w14:textId="028697E4" w:rsidR="00EE09CE" w:rsidRDefault="009C147B">
      <w:pPr>
        <w:pStyle w:val="BodyText"/>
        <w:ind w:left="1188" w:right="200"/>
      </w:pPr>
      <w:r>
        <w:t xml:space="preserve">Dr. </w:t>
      </w:r>
      <w:r w:rsidR="00F37E86">
        <w:t>****</w:t>
      </w:r>
      <w:r>
        <w:t xml:space="preserve"> provides medical services for both children and adults with primary immunodeficiency disorders. Primary I</w:t>
      </w:r>
      <w:r>
        <w:t xml:space="preserve">mmunodeficiency Disorders are rare (affecting 1:1,000 to 1:106 individuals) and require specialized training within the field of Allergy and Immunology </w:t>
      </w:r>
      <w:proofErr w:type="gramStart"/>
      <w:r>
        <w:t>to effectively manage</w:t>
      </w:r>
      <w:proofErr w:type="gramEnd"/>
      <w:r>
        <w:t xml:space="preserve"> these complex disorders with multiple co- morbidities. Dr. </w:t>
      </w:r>
      <w:r w:rsidR="00F37E86">
        <w:t>****</w:t>
      </w:r>
      <w:r>
        <w:t xml:space="preserve"> and other faculty </w:t>
      </w:r>
      <w:r>
        <w:t>of the Allergy/Immunology service provide collaborative care to ~300 primary immunodeficiency patients from seven states.</w:t>
      </w:r>
    </w:p>
    <w:p w14:paraId="46DE2126" w14:textId="7579A62D" w:rsidR="00EE09CE" w:rsidRDefault="009C147B">
      <w:pPr>
        <w:pStyle w:val="BodyText"/>
        <w:spacing w:before="2"/>
        <w:ind w:left="1188" w:right="91"/>
      </w:pPr>
      <w:r>
        <w:t xml:space="preserve">Approximately 50 patients per month </w:t>
      </w:r>
      <w:proofErr w:type="gramStart"/>
      <w:r>
        <w:t>are treated</w:t>
      </w:r>
      <w:proofErr w:type="gramEnd"/>
      <w:r>
        <w:t xml:space="preserve"> in the Arkansas Children’s Infusion Center with intravenous immunoglobulin (IVIG) and/</w:t>
      </w:r>
      <w:r>
        <w:t xml:space="preserve">or other biologic immunomodulatory therapies. </w:t>
      </w:r>
      <w:proofErr w:type="gramStart"/>
      <w:r>
        <w:t>A host of others are</w:t>
      </w:r>
      <w:proofErr w:type="gramEnd"/>
      <w:r>
        <w:t xml:space="preserve"> managed through home health services to provide subcutaneous immunoglobulin replacement and biological therapies. Dr. </w:t>
      </w:r>
      <w:r w:rsidR="00F37E86">
        <w:t>****</w:t>
      </w:r>
      <w:r>
        <w:t xml:space="preserve"> has also been integrally involved in the diagnostic evaluation and</w:t>
      </w:r>
      <w:r>
        <w:t xml:space="preserve"> management of complex, critically ill patients in the intensive care units (CVICU, PICU, NICU) and inpatient services at ACH. In addition to the state-of-the-art clinical care through diagnostic services and long-term management, Dr. </w:t>
      </w:r>
      <w:r w:rsidR="00F37E86">
        <w:t>****</w:t>
      </w:r>
      <w:r>
        <w:t xml:space="preserve"> is responsible f</w:t>
      </w:r>
      <w:r>
        <w:t xml:space="preserve">or coordinating referrals to immunodeficiency transplant centers across the country for patients in need of bone marrow, stem cell, or </w:t>
      </w:r>
      <w:proofErr w:type="spellStart"/>
      <w:r>
        <w:t>thymic</w:t>
      </w:r>
      <w:proofErr w:type="spellEnd"/>
      <w:r>
        <w:t xml:space="preserve"> transplant. Dr. </w:t>
      </w:r>
      <w:r w:rsidR="00F37E86">
        <w:t>****</w:t>
      </w:r>
      <w:r>
        <w:t xml:space="preserve"> works collaboratively with colleagues in genetics and is integrally involved in the molecular</w:t>
      </w:r>
      <w:r>
        <w:t xml:space="preserve"> genetics diagnoses of many patients that occur both in utero and ex utero as part of their primary immunodeficiency disease management. Management of these complex conditions requires coordinated care with multiple clinical services</w:t>
      </w:r>
    </w:p>
    <w:p w14:paraId="52AA8FFC" w14:textId="77777777" w:rsidR="00EE09CE" w:rsidRDefault="009C147B">
      <w:pPr>
        <w:pStyle w:val="BodyText"/>
        <w:spacing w:line="252" w:lineRule="exact"/>
        <w:ind w:left="1188"/>
      </w:pPr>
      <w:proofErr w:type="gramStart"/>
      <w:r>
        <w:t>and</w:t>
      </w:r>
      <w:proofErr w:type="gramEnd"/>
      <w:r>
        <w:t xml:space="preserve"> diagnostic centers</w:t>
      </w:r>
      <w:r>
        <w:t>, as well as comprehensive education for patients and families.</w:t>
      </w:r>
    </w:p>
    <w:p w14:paraId="7462A6F0" w14:textId="77777777" w:rsidR="00EE09CE" w:rsidRDefault="00EE09CE">
      <w:pPr>
        <w:pStyle w:val="BodyText"/>
      </w:pPr>
    </w:p>
    <w:p w14:paraId="07AB30B7" w14:textId="77777777" w:rsidR="00EE09CE" w:rsidRDefault="009C147B">
      <w:pPr>
        <w:pStyle w:val="Heading3"/>
        <w:numPr>
          <w:ilvl w:val="1"/>
          <w:numId w:val="1"/>
        </w:numPr>
        <w:tabs>
          <w:tab w:val="left" w:pos="530"/>
          <w:tab w:val="left" w:pos="531"/>
        </w:tabs>
        <w:ind w:left="530" w:hanging="422"/>
        <w:jc w:val="left"/>
      </w:pPr>
      <w:r>
        <w:t>Newborn Screening for Primary</w:t>
      </w:r>
      <w:r>
        <w:rPr>
          <w:spacing w:val="-13"/>
        </w:rPr>
        <w:t xml:space="preserve"> </w:t>
      </w:r>
      <w:r>
        <w:t>Immunodeficiency</w:t>
      </w:r>
    </w:p>
    <w:p w14:paraId="4D7882C5" w14:textId="53E3946F" w:rsidR="00EE09CE" w:rsidRDefault="009C147B">
      <w:pPr>
        <w:pStyle w:val="BodyText"/>
        <w:spacing w:before="1"/>
        <w:ind w:left="1188" w:right="106"/>
      </w:pPr>
      <w:r>
        <w:t xml:space="preserve">During Dr. </w:t>
      </w:r>
      <w:r w:rsidR="00F37E86">
        <w:t>****</w:t>
      </w:r>
      <w:r>
        <w:t xml:space="preserve">’s Fellowship Training at </w:t>
      </w:r>
      <w:r w:rsidR="00F37E86">
        <w:t>****</w:t>
      </w:r>
      <w:r>
        <w:t xml:space="preserve"> University, her primary mentor, Dr. </w:t>
      </w:r>
      <w:r w:rsidR="00F37E86">
        <w:t>****</w:t>
      </w:r>
      <w:r>
        <w:t xml:space="preserve"> repeatedly emphasized that “SCID is a pediatric emergency</w:t>
      </w:r>
      <w:r>
        <w:t xml:space="preserve">” and that newborn screening is critical to improve survival rates and decrease the time from diagnosis to transplant. Dr. </w:t>
      </w:r>
      <w:r w:rsidR="00F37E86">
        <w:t>****</w:t>
      </w:r>
      <w:r>
        <w:t xml:space="preserve"> was instrumental in advocating at the Arkansas Legislature for changes to the language of state law to not only allow for additi</w:t>
      </w:r>
      <w:r>
        <w:t xml:space="preserve">on of Newborn Screening for Primary Immunodeficiency (SCID and Disorders of T-cell </w:t>
      </w:r>
      <w:proofErr w:type="spellStart"/>
      <w:r>
        <w:t>Lymphopenia</w:t>
      </w:r>
      <w:proofErr w:type="spellEnd"/>
      <w:r>
        <w:t>), but also to pave the way for addition of future newborn screening modalities without requiring additional legislative changes. She has partnered with the Arkan</w:t>
      </w:r>
      <w:r>
        <w:t>sas Department of Health (ADH) and Arkansas Public Health Laboratory (APHL) to develop protocols and practices for implementation of newborn screening for Primary Immunodeficiency using the TRECs assay and served as a liaison to the ADH and an expert consu</w:t>
      </w:r>
      <w:r>
        <w:t xml:space="preserve">ltant for physicians throughout the state. Since implementation of SCID Newborn Screening in Arkansas in May 2015, over 200,000 babies </w:t>
      </w:r>
      <w:proofErr w:type="gramStart"/>
      <w:r>
        <w:t>have been screened</w:t>
      </w:r>
      <w:proofErr w:type="gramEnd"/>
      <w:r>
        <w:t xml:space="preserve">. In addition, Dr. </w:t>
      </w:r>
      <w:r w:rsidR="00F37E86">
        <w:t>****</w:t>
      </w:r>
      <w:r>
        <w:t xml:space="preserve"> is the Medical Director of the ACH Immunology and Newborn Screening Follow-up P</w:t>
      </w:r>
      <w:r>
        <w:t xml:space="preserve">rogram which has been a source for additional clinical and laboratory revenue for the hospital in addition to providing a needed patient care service. Further, linking Dr. </w:t>
      </w:r>
      <w:r w:rsidR="00F37E86">
        <w:t>****</w:t>
      </w:r>
      <w:r>
        <w:t>’s laboratory and clinical care backgrounds, she also currently serves as a Clin</w:t>
      </w:r>
      <w:r>
        <w:t>ical Liaison and expert consultant for the Arkansas Children’s Special Immunology Laboratory and had assisted</w:t>
      </w:r>
      <w:r>
        <w:rPr>
          <w:spacing w:val="-22"/>
        </w:rPr>
        <w:t xml:space="preserve"> </w:t>
      </w:r>
      <w:r>
        <w:t>with</w:t>
      </w:r>
    </w:p>
    <w:p w14:paraId="233D9270" w14:textId="77777777" w:rsidR="00EE09CE" w:rsidRDefault="00EE09CE">
      <w:pPr>
        <w:sectPr w:rsidR="00EE09CE">
          <w:pgSz w:w="12240" w:h="15840"/>
          <w:pgMar w:top="940" w:right="920" w:bottom="280" w:left="1620" w:header="720" w:footer="720" w:gutter="0"/>
          <w:cols w:space="720"/>
        </w:sectPr>
      </w:pPr>
    </w:p>
    <w:p w14:paraId="0C27A87C" w14:textId="591E5694" w:rsidR="00EE09CE" w:rsidRDefault="009C147B">
      <w:pPr>
        <w:pStyle w:val="BodyText"/>
        <w:spacing w:before="68"/>
        <w:ind w:left="1908" w:right="115"/>
      </w:pPr>
      <w:proofErr w:type="gramStart"/>
      <w:r>
        <w:lastRenderedPageBreak/>
        <w:t>refinement</w:t>
      </w:r>
      <w:proofErr w:type="gramEnd"/>
      <w:r>
        <w:t xml:space="preserve"> of existing immunologic protocols as well as development of new protocols, particularly flow cytometry-based assays.  Dr</w:t>
      </w:r>
      <w:r>
        <w:t xml:space="preserve">. </w:t>
      </w:r>
      <w:r w:rsidR="00F37E86">
        <w:t>****</w:t>
      </w:r>
      <w:r>
        <w:t xml:space="preserve"> assisted with the Epic transition for the Special Immunology Lab and continues to work closely with the Immunology Lab Director to assure alignment between clinical and laboratory priorities.</w:t>
      </w:r>
    </w:p>
    <w:p w14:paraId="68774FB2" w14:textId="77777777" w:rsidR="00EE09CE" w:rsidRDefault="00EE09CE">
      <w:pPr>
        <w:pStyle w:val="BodyText"/>
        <w:spacing w:before="9"/>
        <w:rPr>
          <w:sz w:val="21"/>
        </w:rPr>
      </w:pPr>
    </w:p>
    <w:p w14:paraId="443957C6" w14:textId="77777777" w:rsidR="00EE09CE" w:rsidRDefault="009C147B">
      <w:pPr>
        <w:pStyle w:val="Heading3"/>
        <w:numPr>
          <w:ilvl w:val="1"/>
          <w:numId w:val="1"/>
        </w:numPr>
        <w:tabs>
          <w:tab w:val="left" w:pos="1189"/>
        </w:tabs>
        <w:ind w:left="1188" w:hanging="360"/>
        <w:jc w:val="left"/>
      </w:pPr>
      <w:r>
        <w:t>Complex Asthma and Atopic</w:t>
      </w:r>
      <w:r>
        <w:rPr>
          <w:spacing w:val="-3"/>
        </w:rPr>
        <w:t xml:space="preserve"> </w:t>
      </w:r>
      <w:r>
        <w:t>Disease</w:t>
      </w:r>
    </w:p>
    <w:p w14:paraId="66E92749" w14:textId="4AB0AFA9" w:rsidR="00EE09CE" w:rsidRDefault="009C147B">
      <w:pPr>
        <w:pStyle w:val="BodyText"/>
        <w:spacing w:before="1"/>
        <w:ind w:left="1908" w:right="111"/>
      </w:pPr>
      <w:r>
        <w:t xml:space="preserve">An additional area of clinical care provided by Dr. </w:t>
      </w:r>
      <w:r w:rsidR="00F37E86">
        <w:t>****</w:t>
      </w:r>
      <w:r>
        <w:t xml:space="preserve"> is in the care of children with complex, difficult to treat atopic diseases such as asthma, atopic dermatitis, </w:t>
      </w:r>
      <w:proofErr w:type="spellStart"/>
      <w:r>
        <w:t>urticaria</w:t>
      </w:r>
      <w:proofErr w:type="spellEnd"/>
      <w:r>
        <w:t>/angioedema, idiopathic anaphylaxis, drug allergy and venom allergy. Patients t</w:t>
      </w:r>
      <w:r>
        <w:t xml:space="preserve">ravel to ACH to see Dr. </w:t>
      </w:r>
      <w:r w:rsidR="00F37E86">
        <w:t>****</w:t>
      </w:r>
      <w:r>
        <w:t xml:space="preserve"> from seven states (AR, MS, LA, TN, TX, OK, MO) to receive definitive diagnostic evaluations and long-term care. Services provided by Dr. </w:t>
      </w:r>
      <w:r w:rsidR="00F37E86">
        <w:t>****</w:t>
      </w:r>
      <w:r>
        <w:t xml:space="preserve"> include subcutaneous immunotherapy for inhalant and venom allergy, drug allergy testi</w:t>
      </w:r>
      <w:r>
        <w:t>ng, challenge and desensitization, immunomodulatory therapy for atopic dermatitis and asthma, and coordination of medical care with other consulting services (such as Pulmonary Medicine, Dermatology, Gastroenterology, Rheumatology, Otolaryngology and Ophth</w:t>
      </w:r>
      <w:r>
        <w:t>almology).</w:t>
      </w:r>
    </w:p>
    <w:p w14:paraId="19950BFD" w14:textId="77777777" w:rsidR="00EE09CE" w:rsidRDefault="00EE09CE">
      <w:pPr>
        <w:pStyle w:val="BodyText"/>
        <w:spacing w:before="9"/>
        <w:rPr>
          <w:sz w:val="21"/>
        </w:rPr>
      </w:pPr>
    </w:p>
    <w:p w14:paraId="05F9B50B" w14:textId="77777777" w:rsidR="00EE09CE" w:rsidRDefault="009C147B">
      <w:pPr>
        <w:pStyle w:val="Heading3"/>
        <w:numPr>
          <w:ilvl w:val="1"/>
          <w:numId w:val="1"/>
        </w:numPr>
        <w:tabs>
          <w:tab w:val="left" w:pos="1189"/>
        </w:tabs>
        <w:ind w:left="1188" w:hanging="360"/>
        <w:jc w:val="left"/>
      </w:pPr>
      <w:r>
        <w:t>Telemedicine</w:t>
      </w:r>
      <w:r>
        <w:rPr>
          <w:spacing w:val="-3"/>
        </w:rPr>
        <w:t xml:space="preserve"> </w:t>
      </w:r>
      <w:r>
        <w:t>Services</w:t>
      </w:r>
    </w:p>
    <w:p w14:paraId="57A30916" w14:textId="4C79EDD8" w:rsidR="00EE09CE" w:rsidRDefault="009C147B">
      <w:pPr>
        <w:pStyle w:val="BodyText"/>
        <w:spacing w:before="1"/>
        <w:ind w:left="1908" w:right="237"/>
      </w:pPr>
      <w:r>
        <w:t xml:space="preserve">Dr. </w:t>
      </w:r>
      <w:r w:rsidR="00F37E86">
        <w:t>****</w:t>
      </w:r>
      <w:r>
        <w:t xml:space="preserve"> and the Allergy/Immunology Division have been on the forefront of the growth and expansion of Allergy Immunology Telemedicine clinical programs for Arkansas’ pediatric populations. This service proved critical for</w:t>
      </w:r>
      <w:r>
        <w:t xml:space="preserve"> maintaining patient engagement during the COVID-19 pandemic and helped maintain clinical productivity during the pandemic. Prior to implementation of telemedicine initiatives, children in rural Arkansas and the surrounding regions had to travel several ho</w:t>
      </w:r>
      <w:r>
        <w:t>urs to receive specialist-driven, expert care, telemedicine has enhanced access for these patients.</w:t>
      </w:r>
    </w:p>
    <w:p w14:paraId="24A083A2" w14:textId="77777777" w:rsidR="00EE09CE" w:rsidRDefault="00EE09CE">
      <w:pPr>
        <w:pStyle w:val="BodyText"/>
        <w:rPr>
          <w:sz w:val="24"/>
        </w:rPr>
      </w:pPr>
    </w:p>
    <w:p w14:paraId="3CE6B43F" w14:textId="77777777" w:rsidR="00EE09CE" w:rsidRDefault="00EE09CE">
      <w:pPr>
        <w:pStyle w:val="BodyText"/>
        <w:spacing w:before="11"/>
        <w:rPr>
          <w:sz w:val="19"/>
        </w:rPr>
      </w:pPr>
    </w:p>
    <w:p w14:paraId="799D98EB" w14:textId="77777777" w:rsidR="00EE09CE" w:rsidRDefault="009C147B">
      <w:pPr>
        <w:pStyle w:val="Heading3"/>
        <w:numPr>
          <w:ilvl w:val="0"/>
          <w:numId w:val="1"/>
        </w:numPr>
        <w:tabs>
          <w:tab w:val="left" w:pos="442"/>
        </w:tabs>
        <w:ind w:left="441" w:hanging="333"/>
      </w:pPr>
      <w:r>
        <w:t>Clinical Productivity/RVUs (July 2012-June</w:t>
      </w:r>
      <w:r>
        <w:rPr>
          <w:spacing w:val="-20"/>
        </w:rPr>
        <w:t xml:space="preserve"> </w:t>
      </w:r>
      <w:r>
        <w:t>2021)</w:t>
      </w:r>
    </w:p>
    <w:p w14:paraId="2E006CE1" w14:textId="77777777" w:rsidR="00EE09CE" w:rsidRDefault="00EE09CE">
      <w:pPr>
        <w:pStyle w:val="BodyText"/>
        <w:rPr>
          <w:b/>
        </w:rPr>
      </w:pPr>
    </w:p>
    <w:p w14:paraId="615DB0CE" w14:textId="569F505F" w:rsidR="00EE09CE" w:rsidRDefault="009C147B">
      <w:pPr>
        <w:pStyle w:val="BodyText"/>
        <w:ind w:left="828" w:right="111"/>
      </w:pPr>
      <w:r>
        <w:t xml:space="preserve">Dr. </w:t>
      </w:r>
      <w:r w:rsidR="00F37E86">
        <w:t>****</w:t>
      </w:r>
      <w:r>
        <w:t xml:space="preserve"> has consistently met or exceeded her annual RVU benchmark, with average annual RVU productivity since promotion to Associate Professor 115% of benchmark. Reduced clinic volumes due to ACH’s conversion to EPIC negatively </w:t>
      </w:r>
      <w:proofErr w:type="gramStart"/>
      <w:r>
        <w:t>impacted</w:t>
      </w:r>
      <w:proofErr w:type="gramEnd"/>
      <w:r>
        <w:t xml:space="preserve"> total charges in FY 2018. </w:t>
      </w:r>
      <w:r>
        <w:t xml:space="preserve">Also, during FY 2017 and 2018, Dr. </w:t>
      </w:r>
      <w:r w:rsidR="00F37E86">
        <w:t>****</w:t>
      </w:r>
      <w:r>
        <w:t xml:space="preserve">’s clinical RVU goal was unexpectedly increased due to changes in UAMS policy that converted unfunded education FTE to clinical FTE for all UAMS faculty. </w:t>
      </w:r>
      <w:proofErr w:type="gramStart"/>
      <w:r>
        <w:t>Data for FY2021 were impacted by decreased clinical volumes due</w:t>
      </w:r>
      <w:r>
        <w:t xml:space="preserve"> to the COVID-19 pandemic</w:t>
      </w:r>
      <w:proofErr w:type="gramEnd"/>
      <w:r>
        <w:t>.</w:t>
      </w:r>
    </w:p>
    <w:p w14:paraId="6254AA19" w14:textId="77777777" w:rsidR="00EE09CE" w:rsidRDefault="00EE09CE">
      <w:pPr>
        <w:pStyle w:val="BodyText"/>
        <w:spacing w:before="8" w:after="1"/>
        <w:rPr>
          <w:sz w:val="21"/>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250"/>
        <w:gridCol w:w="2072"/>
        <w:gridCol w:w="2609"/>
      </w:tblGrid>
      <w:tr w:rsidR="00EE09CE" w14:paraId="03CB0043" w14:textId="77777777">
        <w:trPr>
          <w:trHeight w:hRule="exact" w:val="288"/>
        </w:trPr>
        <w:tc>
          <w:tcPr>
            <w:tcW w:w="2426" w:type="dxa"/>
          </w:tcPr>
          <w:p w14:paraId="650E640F" w14:textId="77777777" w:rsidR="00EE09CE" w:rsidRDefault="009C147B">
            <w:pPr>
              <w:pStyle w:val="TableParagraph"/>
              <w:spacing w:before="2"/>
              <w:ind w:left="607" w:right="607"/>
              <w:rPr>
                <w:b/>
              </w:rPr>
            </w:pPr>
            <w:r>
              <w:rPr>
                <w:b/>
              </w:rPr>
              <w:t>Fiscal Year</w:t>
            </w:r>
          </w:p>
        </w:tc>
        <w:tc>
          <w:tcPr>
            <w:tcW w:w="2249" w:type="dxa"/>
          </w:tcPr>
          <w:p w14:paraId="742191A0" w14:textId="77777777" w:rsidR="00EE09CE" w:rsidRDefault="009C147B">
            <w:pPr>
              <w:pStyle w:val="TableParagraph"/>
              <w:spacing w:before="2"/>
              <w:ind w:left="457"/>
              <w:rPr>
                <w:b/>
              </w:rPr>
            </w:pPr>
            <w:r>
              <w:rPr>
                <w:b/>
              </w:rPr>
              <w:t>Charges</w:t>
            </w:r>
          </w:p>
        </w:tc>
        <w:tc>
          <w:tcPr>
            <w:tcW w:w="2072" w:type="dxa"/>
          </w:tcPr>
          <w:p w14:paraId="46DCA2D5" w14:textId="77777777" w:rsidR="00EE09CE" w:rsidRDefault="009C147B">
            <w:pPr>
              <w:pStyle w:val="TableParagraph"/>
              <w:spacing w:before="2"/>
              <w:ind w:left="741" w:right="742"/>
              <w:rPr>
                <w:b/>
              </w:rPr>
            </w:pPr>
            <w:proofErr w:type="spellStart"/>
            <w:r>
              <w:rPr>
                <w:b/>
              </w:rPr>
              <w:t>cFTE</w:t>
            </w:r>
            <w:proofErr w:type="spellEnd"/>
          </w:p>
        </w:tc>
        <w:tc>
          <w:tcPr>
            <w:tcW w:w="2609" w:type="dxa"/>
          </w:tcPr>
          <w:p w14:paraId="195F9B06" w14:textId="77777777" w:rsidR="00EE09CE" w:rsidRDefault="009C147B">
            <w:pPr>
              <w:pStyle w:val="TableParagraph"/>
              <w:spacing w:before="2"/>
              <w:ind w:right="420"/>
              <w:rPr>
                <w:b/>
              </w:rPr>
            </w:pPr>
            <w:r>
              <w:rPr>
                <w:b/>
              </w:rPr>
              <w:t>% of Benchmark</w:t>
            </w:r>
          </w:p>
        </w:tc>
      </w:tr>
      <w:tr w:rsidR="00EE09CE" w14:paraId="43150C11" w14:textId="77777777">
        <w:trPr>
          <w:trHeight w:hRule="exact" w:val="286"/>
        </w:trPr>
        <w:tc>
          <w:tcPr>
            <w:tcW w:w="2426" w:type="dxa"/>
          </w:tcPr>
          <w:p w14:paraId="1DD5BDF8" w14:textId="77777777" w:rsidR="00EE09CE" w:rsidRDefault="009C147B">
            <w:pPr>
              <w:pStyle w:val="TableParagraph"/>
              <w:ind w:left="607" w:right="607"/>
            </w:pPr>
            <w:r>
              <w:t>2012</w:t>
            </w:r>
          </w:p>
        </w:tc>
        <w:tc>
          <w:tcPr>
            <w:tcW w:w="2249" w:type="dxa"/>
          </w:tcPr>
          <w:p w14:paraId="2BE58C57" w14:textId="77777777" w:rsidR="00EE09CE" w:rsidRDefault="009C147B">
            <w:pPr>
              <w:pStyle w:val="TableParagraph"/>
              <w:ind w:left="457"/>
            </w:pPr>
            <w:r>
              <w:t>$67,447</w:t>
            </w:r>
          </w:p>
        </w:tc>
        <w:tc>
          <w:tcPr>
            <w:tcW w:w="2072" w:type="dxa"/>
          </w:tcPr>
          <w:p w14:paraId="2045B6C1" w14:textId="77777777" w:rsidR="00EE09CE" w:rsidRDefault="009C147B">
            <w:pPr>
              <w:pStyle w:val="TableParagraph"/>
              <w:ind w:left="741" w:right="741"/>
            </w:pPr>
            <w:r>
              <w:t>0.17</w:t>
            </w:r>
          </w:p>
        </w:tc>
        <w:tc>
          <w:tcPr>
            <w:tcW w:w="2609" w:type="dxa"/>
          </w:tcPr>
          <w:p w14:paraId="2D80D917" w14:textId="77777777" w:rsidR="00EE09CE" w:rsidRDefault="009C147B">
            <w:pPr>
              <w:pStyle w:val="TableParagraph"/>
              <w:ind w:right="419"/>
            </w:pPr>
            <w:r>
              <w:t>101%</w:t>
            </w:r>
          </w:p>
        </w:tc>
      </w:tr>
      <w:tr w:rsidR="00EE09CE" w14:paraId="7DA2B4AD" w14:textId="77777777">
        <w:trPr>
          <w:trHeight w:hRule="exact" w:val="286"/>
        </w:trPr>
        <w:tc>
          <w:tcPr>
            <w:tcW w:w="2426" w:type="dxa"/>
          </w:tcPr>
          <w:p w14:paraId="197CB14F" w14:textId="77777777" w:rsidR="00EE09CE" w:rsidRDefault="009C147B">
            <w:pPr>
              <w:pStyle w:val="TableParagraph"/>
              <w:ind w:left="607" w:right="607"/>
            </w:pPr>
            <w:r>
              <w:t>2013</w:t>
            </w:r>
          </w:p>
        </w:tc>
        <w:tc>
          <w:tcPr>
            <w:tcW w:w="2249" w:type="dxa"/>
          </w:tcPr>
          <w:p w14:paraId="5FAAE1F7" w14:textId="77777777" w:rsidR="00EE09CE" w:rsidRDefault="009C147B">
            <w:pPr>
              <w:pStyle w:val="TableParagraph"/>
              <w:ind w:left="457"/>
            </w:pPr>
            <w:r>
              <w:t>$87,265</w:t>
            </w:r>
          </w:p>
        </w:tc>
        <w:tc>
          <w:tcPr>
            <w:tcW w:w="2072" w:type="dxa"/>
          </w:tcPr>
          <w:p w14:paraId="39AB9866" w14:textId="77777777" w:rsidR="00EE09CE" w:rsidRDefault="009C147B">
            <w:pPr>
              <w:pStyle w:val="TableParagraph"/>
              <w:ind w:left="741" w:right="741"/>
            </w:pPr>
            <w:r>
              <w:t>0.17</w:t>
            </w:r>
          </w:p>
        </w:tc>
        <w:tc>
          <w:tcPr>
            <w:tcW w:w="2609" w:type="dxa"/>
          </w:tcPr>
          <w:p w14:paraId="07024877" w14:textId="77777777" w:rsidR="00EE09CE" w:rsidRDefault="009C147B">
            <w:pPr>
              <w:pStyle w:val="TableParagraph"/>
              <w:ind w:right="419"/>
            </w:pPr>
            <w:r>
              <w:t>123%</w:t>
            </w:r>
          </w:p>
        </w:tc>
      </w:tr>
      <w:tr w:rsidR="00EE09CE" w14:paraId="373CA2D1" w14:textId="77777777">
        <w:trPr>
          <w:trHeight w:hRule="exact" w:val="286"/>
        </w:trPr>
        <w:tc>
          <w:tcPr>
            <w:tcW w:w="2426" w:type="dxa"/>
          </w:tcPr>
          <w:p w14:paraId="65FA3A92" w14:textId="77777777" w:rsidR="00EE09CE" w:rsidRDefault="009C147B">
            <w:pPr>
              <w:pStyle w:val="TableParagraph"/>
              <w:ind w:left="607" w:right="607"/>
            </w:pPr>
            <w:r>
              <w:t>2014</w:t>
            </w:r>
          </w:p>
        </w:tc>
        <w:tc>
          <w:tcPr>
            <w:tcW w:w="2249" w:type="dxa"/>
          </w:tcPr>
          <w:p w14:paraId="4BA5D844" w14:textId="77777777" w:rsidR="00EE09CE" w:rsidRDefault="009C147B">
            <w:pPr>
              <w:pStyle w:val="TableParagraph"/>
              <w:ind w:left="457"/>
            </w:pPr>
            <w:r>
              <w:t>$ 81,730.00</w:t>
            </w:r>
          </w:p>
        </w:tc>
        <w:tc>
          <w:tcPr>
            <w:tcW w:w="2072" w:type="dxa"/>
          </w:tcPr>
          <w:p w14:paraId="346691C1" w14:textId="77777777" w:rsidR="00EE09CE" w:rsidRDefault="009C147B">
            <w:pPr>
              <w:pStyle w:val="TableParagraph"/>
              <w:ind w:left="741" w:right="741"/>
            </w:pPr>
            <w:r>
              <w:t>0.17</w:t>
            </w:r>
          </w:p>
        </w:tc>
        <w:tc>
          <w:tcPr>
            <w:tcW w:w="2609" w:type="dxa"/>
          </w:tcPr>
          <w:p w14:paraId="5DF265EA" w14:textId="77777777" w:rsidR="00EE09CE" w:rsidRDefault="009C147B">
            <w:pPr>
              <w:pStyle w:val="TableParagraph"/>
              <w:ind w:right="417"/>
            </w:pPr>
            <w:r>
              <w:t>174.7%</w:t>
            </w:r>
          </w:p>
        </w:tc>
      </w:tr>
      <w:tr w:rsidR="00EE09CE" w14:paraId="568FE732" w14:textId="77777777">
        <w:trPr>
          <w:trHeight w:hRule="exact" w:val="286"/>
        </w:trPr>
        <w:tc>
          <w:tcPr>
            <w:tcW w:w="2426" w:type="dxa"/>
          </w:tcPr>
          <w:p w14:paraId="2C3EF97A" w14:textId="77777777" w:rsidR="00EE09CE" w:rsidRDefault="009C147B">
            <w:pPr>
              <w:pStyle w:val="TableParagraph"/>
              <w:ind w:left="607" w:right="607"/>
            </w:pPr>
            <w:r>
              <w:t>2015</w:t>
            </w:r>
          </w:p>
        </w:tc>
        <w:tc>
          <w:tcPr>
            <w:tcW w:w="2249" w:type="dxa"/>
          </w:tcPr>
          <w:p w14:paraId="06F59717" w14:textId="77777777" w:rsidR="00EE09CE" w:rsidRDefault="009C147B">
            <w:pPr>
              <w:pStyle w:val="TableParagraph"/>
              <w:ind w:left="456"/>
            </w:pPr>
            <w:r>
              <w:t>$133,118.00</w:t>
            </w:r>
          </w:p>
        </w:tc>
        <w:tc>
          <w:tcPr>
            <w:tcW w:w="2072" w:type="dxa"/>
          </w:tcPr>
          <w:p w14:paraId="16B1F1B3" w14:textId="77777777" w:rsidR="00EE09CE" w:rsidRDefault="009C147B">
            <w:pPr>
              <w:pStyle w:val="TableParagraph"/>
              <w:ind w:left="741" w:right="741"/>
            </w:pPr>
            <w:r>
              <w:t>0.35</w:t>
            </w:r>
          </w:p>
        </w:tc>
        <w:tc>
          <w:tcPr>
            <w:tcW w:w="2609" w:type="dxa"/>
          </w:tcPr>
          <w:p w14:paraId="4392172D" w14:textId="77777777" w:rsidR="00EE09CE" w:rsidRDefault="009C147B">
            <w:pPr>
              <w:pStyle w:val="TableParagraph"/>
              <w:ind w:right="417"/>
            </w:pPr>
            <w:r>
              <w:t>152.6%</w:t>
            </w:r>
          </w:p>
        </w:tc>
      </w:tr>
      <w:tr w:rsidR="00EE09CE" w14:paraId="71ED8769" w14:textId="77777777">
        <w:trPr>
          <w:trHeight w:hRule="exact" w:val="286"/>
        </w:trPr>
        <w:tc>
          <w:tcPr>
            <w:tcW w:w="2426" w:type="dxa"/>
          </w:tcPr>
          <w:p w14:paraId="69A55ECD" w14:textId="77777777" w:rsidR="00EE09CE" w:rsidRDefault="009C147B">
            <w:pPr>
              <w:pStyle w:val="TableParagraph"/>
              <w:ind w:left="607" w:right="607"/>
            </w:pPr>
            <w:r>
              <w:t>2016</w:t>
            </w:r>
          </w:p>
        </w:tc>
        <w:tc>
          <w:tcPr>
            <w:tcW w:w="2249" w:type="dxa"/>
          </w:tcPr>
          <w:p w14:paraId="0832BF0F" w14:textId="77777777" w:rsidR="00EE09CE" w:rsidRDefault="009C147B">
            <w:pPr>
              <w:pStyle w:val="TableParagraph"/>
              <w:ind w:left="457"/>
            </w:pPr>
            <w:r>
              <w:t>$ 166,407.00</w:t>
            </w:r>
          </w:p>
        </w:tc>
        <w:tc>
          <w:tcPr>
            <w:tcW w:w="2072" w:type="dxa"/>
          </w:tcPr>
          <w:p w14:paraId="1DD85B19" w14:textId="77777777" w:rsidR="00EE09CE" w:rsidRDefault="009C147B">
            <w:pPr>
              <w:pStyle w:val="TableParagraph"/>
              <w:ind w:left="741" w:right="741"/>
            </w:pPr>
            <w:r>
              <w:t>0.58</w:t>
            </w:r>
          </w:p>
        </w:tc>
        <w:tc>
          <w:tcPr>
            <w:tcW w:w="2609" w:type="dxa"/>
          </w:tcPr>
          <w:p w14:paraId="102B8DD9" w14:textId="77777777" w:rsidR="00EE09CE" w:rsidRDefault="009C147B">
            <w:pPr>
              <w:pStyle w:val="TableParagraph"/>
              <w:ind w:right="417"/>
            </w:pPr>
            <w:r>
              <w:t>109.9%</w:t>
            </w:r>
          </w:p>
        </w:tc>
      </w:tr>
      <w:tr w:rsidR="00EE09CE" w14:paraId="393948D2" w14:textId="77777777">
        <w:trPr>
          <w:trHeight w:hRule="exact" w:val="288"/>
        </w:trPr>
        <w:tc>
          <w:tcPr>
            <w:tcW w:w="2426" w:type="dxa"/>
          </w:tcPr>
          <w:p w14:paraId="4070AF38" w14:textId="77777777" w:rsidR="00EE09CE" w:rsidRDefault="009C147B">
            <w:pPr>
              <w:pStyle w:val="TableParagraph"/>
              <w:spacing w:before="2"/>
              <w:ind w:left="607" w:right="607"/>
            </w:pPr>
            <w:r>
              <w:t>2017</w:t>
            </w:r>
          </w:p>
        </w:tc>
        <w:tc>
          <w:tcPr>
            <w:tcW w:w="2249" w:type="dxa"/>
          </w:tcPr>
          <w:p w14:paraId="3DFEDCB9" w14:textId="77777777" w:rsidR="00EE09CE" w:rsidRDefault="009C147B">
            <w:pPr>
              <w:pStyle w:val="TableParagraph"/>
              <w:spacing w:before="2"/>
              <w:ind w:left="457"/>
            </w:pPr>
            <w:r>
              <w:t>$ 133,304.00</w:t>
            </w:r>
          </w:p>
        </w:tc>
        <w:tc>
          <w:tcPr>
            <w:tcW w:w="2072" w:type="dxa"/>
          </w:tcPr>
          <w:p w14:paraId="756675D4" w14:textId="77777777" w:rsidR="00EE09CE" w:rsidRDefault="009C147B">
            <w:pPr>
              <w:pStyle w:val="TableParagraph"/>
              <w:spacing w:before="2"/>
              <w:ind w:left="741" w:right="741"/>
            </w:pPr>
            <w:r>
              <w:t>0.58</w:t>
            </w:r>
          </w:p>
        </w:tc>
        <w:tc>
          <w:tcPr>
            <w:tcW w:w="2609" w:type="dxa"/>
          </w:tcPr>
          <w:p w14:paraId="76C330EF" w14:textId="77777777" w:rsidR="00EE09CE" w:rsidRDefault="009C147B">
            <w:pPr>
              <w:pStyle w:val="TableParagraph"/>
              <w:spacing w:before="2"/>
              <w:ind w:right="419"/>
            </w:pPr>
            <w:r>
              <w:t>85.5%</w:t>
            </w:r>
          </w:p>
        </w:tc>
      </w:tr>
      <w:tr w:rsidR="00EE09CE" w14:paraId="4D0F31FE" w14:textId="77777777">
        <w:trPr>
          <w:trHeight w:hRule="exact" w:val="286"/>
        </w:trPr>
        <w:tc>
          <w:tcPr>
            <w:tcW w:w="2426" w:type="dxa"/>
          </w:tcPr>
          <w:p w14:paraId="65AB6DD6" w14:textId="77777777" w:rsidR="00EE09CE" w:rsidRDefault="009C147B">
            <w:pPr>
              <w:pStyle w:val="TableParagraph"/>
              <w:ind w:left="607" w:right="607"/>
            </w:pPr>
            <w:r>
              <w:t>2018</w:t>
            </w:r>
          </w:p>
        </w:tc>
        <w:tc>
          <w:tcPr>
            <w:tcW w:w="2249" w:type="dxa"/>
          </w:tcPr>
          <w:p w14:paraId="7CA1AADE" w14:textId="77777777" w:rsidR="00EE09CE" w:rsidRDefault="009C147B">
            <w:pPr>
              <w:pStyle w:val="TableParagraph"/>
              <w:ind w:left="457"/>
            </w:pPr>
            <w:r>
              <w:t>$ 117,372.00</w:t>
            </w:r>
          </w:p>
        </w:tc>
        <w:tc>
          <w:tcPr>
            <w:tcW w:w="2072" w:type="dxa"/>
          </w:tcPr>
          <w:p w14:paraId="6124F7B7" w14:textId="77777777" w:rsidR="00EE09CE" w:rsidRDefault="009C147B">
            <w:pPr>
              <w:pStyle w:val="TableParagraph"/>
              <w:ind w:left="741" w:right="741"/>
            </w:pPr>
            <w:r>
              <w:t>0.52</w:t>
            </w:r>
          </w:p>
        </w:tc>
        <w:tc>
          <w:tcPr>
            <w:tcW w:w="2609" w:type="dxa"/>
          </w:tcPr>
          <w:p w14:paraId="62400510" w14:textId="77777777" w:rsidR="00EE09CE" w:rsidRDefault="009C147B">
            <w:pPr>
              <w:pStyle w:val="TableParagraph"/>
              <w:ind w:right="419"/>
            </w:pPr>
            <w:r>
              <w:t>63.2%</w:t>
            </w:r>
          </w:p>
        </w:tc>
      </w:tr>
      <w:tr w:rsidR="00EE09CE" w14:paraId="56CD50FA" w14:textId="77777777">
        <w:trPr>
          <w:trHeight w:hRule="exact" w:val="286"/>
        </w:trPr>
        <w:tc>
          <w:tcPr>
            <w:tcW w:w="2426" w:type="dxa"/>
          </w:tcPr>
          <w:p w14:paraId="5AFDCECA" w14:textId="77777777" w:rsidR="00EE09CE" w:rsidRDefault="009C147B">
            <w:pPr>
              <w:pStyle w:val="TableParagraph"/>
              <w:ind w:left="607" w:right="607"/>
            </w:pPr>
            <w:r>
              <w:t>2019</w:t>
            </w:r>
          </w:p>
        </w:tc>
        <w:tc>
          <w:tcPr>
            <w:tcW w:w="2249" w:type="dxa"/>
          </w:tcPr>
          <w:p w14:paraId="55F2FC57" w14:textId="77777777" w:rsidR="00EE09CE" w:rsidRDefault="009C147B">
            <w:pPr>
              <w:pStyle w:val="TableParagraph"/>
              <w:ind w:left="457"/>
            </w:pPr>
            <w:r>
              <w:t>$ 146,455.00</w:t>
            </w:r>
          </w:p>
        </w:tc>
        <w:tc>
          <w:tcPr>
            <w:tcW w:w="2072" w:type="dxa"/>
          </w:tcPr>
          <w:p w14:paraId="65C77117" w14:textId="77777777" w:rsidR="00EE09CE" w:rsidRDefault="009C147B">
            <w:pPr>
              <w:pStyle w:val="TableParagraph"/>
              <w:ind w:left="741" w:right="741"/>
            </w:pPr>
            <w:r>
              <w:t>0.32</w:t>
            </w:r>
          </w:p>
        </w:tc>
        <w:tc>
          <w:tcPr>
            <w:tcW w:w="2609" w:type="dxa"/>
          </w:tcPr>
          <w:p w14:paraId="2F4A773E" w14:textId="77777777" w:rsidR="00EE09CE" w:rsidRDefault="009C147B">
            <w:pPr>
              <w:pStyle w:val="TableParagraph"/>
              <w:ind w:right="417"/>
            </w:pPr>
            <w:r>
              <w:t>125.2%</w:t>
            </w:r>
          </w:p>
        </w:tc>
      </w:tr>
      <w:tr w:rsidR="00EE09CE" w14:paraId="2D095C24" w14:textId="77777777">
        <w:trPr>
          <w:trHeight w:hRule="exact" w:val="286"/>
        </w:trPr>
        <w:tc>
          <w:tcPr>
            <w:tcW w:w="2426" w:type="dxa"/>
          </w:tcPr>
          <w:p w14:paraId="1DA85D4A" w14:textId="77777777" w:rsidR="00EE09CE" w:rsidRDefault="009C147B">
            <w:pPr>
              <w:pStyle w:val="TableParagraph"/>
              <w:ind w:left="607" w:right="607"/>
            </w:pPr>
            <w:r>
              <w:t>2020</w:t>
            </w:r>
          </w:p>
        </w:tc>
        <w:tc>
          <w:tcPr>
            <w:tcW w:w="2249" w:type="dxa"/>
          </w:tcPr>
          <w:p w14:paraId="5F0FAAE2" w14:textId="77777777" w:rsidR="00EE09CE" w:rsidRDefault="009C147B">
            <w:pPr>
              <w:pStyle w:val="TableParagraph"/>
              <w:ind w:left="457"/>
            </w:pPr>
            <w:r>
              <w:t>$ 128,932.00</w:t>
            </w:r>
          </w:p>
        </w:tc>
        <w:tc>
          <w:tcPr>
            <w:tcW w:w="2072" w:type="dxa"/>
          </w:tcPr>
          <w:p w14:paraId="771B997B" w14:textId="77777777" w:rsidR="00EE09CE" w:rsidRDefault="009C147B">
            <w:pPr>
              <w:pStyle w:val="TableParagraph"/>
              <w:ind w:left="741" w:right="741"/>
            </w:pPr>
            <w:r>
              <w:t>0.31</w:t>
            </w:r>
          </w:p>
        </w:tc>
        <w:tc>
          <w:tcPr>
            <w:tcW w:w="2609" w:type="dxa"/>
          </w:tcPr>
          <w:p w14:paraId="78DC0DC6" w14:textId="77777777" w:rsidR="00EE09CE" w:rsidRDefault="009C147B">
            <w:pPr>
              <w:pStyle w:val="TableParagraph"/>
              <w:ind w:right="417"/>
            </w:pPr>
            <w:r>
              <w:t>124.8%</w:t>
            </w:r>
          </w:p>
        </w:tc>
      </w:tr>
      <w:tr w:rsidR="00EE09CE" w14:paraId="6B210813" w14:textId="77777777">
        <w:trPr>
          <w:trHeight w:hRule="exact" w:val="286"/>
        </w:trPr>
        <w:tc>
          <w:tcPr>
            <w:tcW w:w="2426" w:type="dxa"/>
          </w:tcPr>
          <w:p w14:paraId="5B20AA9E" w14:textId="77777777" w:rsidR="00EE09CE" w:rsidRDefault="009C147B">
            <w:pPr>
              <w:pStyle w:val="TableParagraph"/>
              <w:ind w:left="607" w:right="607"/>
            </w:pPr>
            <w:r>
              <w:t>2021</w:t>
            </w:r>
          </w:p>
        </w:tc>
        <w:tc>
          <w:tcPr>
            <w:tcW w:w="2249" w:type="dxa"/>
          </w:tcPr>
          <w:p w14:paraId="0F3E4B90" w14:textId="77777777" w:rsidR="00EE09CE" w:rsidRDefault="009C147B">
            <w:pPr>
              <w:pStyle w:val="TableParagraph"/>
              <w:ind w:left="457"/>
            </w:pPr>
            <w:r>
              <w:t>$</w:t>
            </w:r>
            <w:r>
              <w:rPr>
                <w:spacing w:val="60"/>
              </w:rPr>
              <w:t xml:space="preserve"> </w:t>
            </w:r>
            <w:r>
              <w:t>87,416</w:t>
            </w:r>
          </w:p>
        </w:tc>
        <w:tc>
          <w:tcPr>
            <w:tcW w:w="2072" w:type="dxa"/>
          </w:tcPr>
          <w:p w14:paraId="63E596D2" w14:textId="77777777" w:rsidR="00EE09CE" w:rsidRDefault="009C147B">
            <w:pPr>
              <w:pStyle w:val="TableParagraph"/>
              <w:ind w:left="741" w:right="741"/>
            </w:pPr>
            <w:r>
              <w:t>0.32</w:t>
            </w:r>
          </w:p>
        </w:tc>
        <w:tc>
          <w:tcPr>
            <w:tcW w:w="2609" w:type="dxa"/>
          </w:tcPr>
          <w:p w14:paraId="79D7E960" w14:textId="77777777" w:rsidR="00EE09CE" w:rsidRDefault="009C147B">
            <w:pPr>
              <w:pStyle w:val="TableParagraph"/>
              <w:ind w:right="419"/>
            </w:pPr>
            <w:r>
              <w:t>91.3%</w:t>
            </w:r>
          </w:p>
        </w:tc>
      </w:tr>
      <w:tr w:rsidR="00EE09CE" w14:paraId="42E74DD4" w14:textId="77777777">
        <w:trPr>
          <w:trHeight w:hRule="exact" w:val="288"/>
        </w:trPr>
        <w:tc>
          <w:tcPr>
            <w:tcW w:w="4676" w:type="dxa"/>
            <w:gridSpan w:val="2"/>
          </w:tcPr>
          <w:p w14:paraId="6D3FB903" w14:textId="77777777" w:rsidR="00EE09CE" w:rsidRDefault="009C147B">
            <w:pPr>
              <w:pStyle w:val="TableParagraph"/>
              <w:ind w:left="1348" w:right="0"/>
              <w:jc w:val="left"/>
              <w:rPr>
                <w:b/>
              </w:rPr>
            </w:pPr>
            <w:r>
              <w:rPr>
                <w:b/>
              </w:rPr>
              <w:t>TOTAL: $1,149,806</w:t>
            </w:r>
          </w:p>
        </w:tc>
        <w:tc>
          <w:tcPr>
            <w:tcW w:w="4681" w:type="dxa"/>
            <w:gridSpan w:val="2"/>
          </w:tcPr>
          <w:p w14:paraId="40A98886" w14:textId="77777777" w:rsidR="00EE09CE" w:rsidRDefault="009C147B">
            <w:pPr>
              <w:pStyle w:val="TableParagraph"/>
              <w:ind w:left="530" w:right="0"/>
              <w:jc w:val="left"/>
              <w:rPr>
                <w:b/>
              </w:rPr>
            </w:pPr>
            <w:r>
              <w:rPr>
                <w:b/>
              </w:rPr>
              <w:t>Average % RVU Benchmark: 115%</w:t>
            </w:r>
          </w:p>
        </w:tc>
      </w:tr>
    </w:tbl>
    <w:p w14:paraId="3EA18CFE" w14:textId="77777777" w:rsidR="00EE09CE" w:rsidRDefault="00EE09CE">
      <w:pPr>
        <w:sectPr w:rsidR="00EE09CE">
          <w:pgSz w:w="12240" w:h="15840"/>
          <w:pgMar w:top="940" w:right="900" w:bottom="280" w:left="900" w:header="720" w:footer="720" w:gutter="0"/>
          <w:cols w:space="720"/>
        </w:sectPr>
      </w:pPr>
    </w:p>
    <w:p w14:paraId="56AAB0FB" w14:textId="77777777" w:rsidR="00EE09CE" w:rsidRDefault="009C147B">
      <w:pPr>
        <w:pStyle w:val="Heading3"/>
        <w:numPr>
          <w:ilvl w:val="0"/>
          <w:numId w:val="1"/>
        </w:numPr>
        <w:tabs>
          <w:tab w:val="left" w:pos="379"/>
        </w:tabs>
        <w:spacing w:before="68"/>
        <w:ind w:left="378" w:hanging="270"/>
      </w:pPr>
      <w:r>
        <w:lastRenderedPageBreak/>
        <w:t>Patient</w:t>
      </w:r>
      <w:r>
        <w:rPr>
          <w:spacing w:val="-4"/>
        </w:rPr>
        <w:t xml:space="preserve"> </w:t>
      </w:r>
      <w:r>
        <w:t>Satisfaction</w:t>
      </w:r>
    </w:p>
    <w:p w14:paraId="6D547CAD" w14:textId="77777777" w:rsidR="00EE09CE" w:rsidRDefault="00EE09CE">
      <w:pPr>
        <w:pStyle w:val="BodyText"/>
        <w:rPr>
          <w:b/>
        </w:rPr>
      </w:pPr>
    </w:p>
    <w:p w14:paraId="5D3FDD7A" w14:textId="2E77FE6A" w:rsidR="00EE09CE" w:rsidRDefault="009C147B">
      <w:pPr>
        <w:pStyle w:val="BodyText"/>
        <w:spacing w:before="1"/>
        <w:ind w:left="107" w:right="105"/>
      </w:pPr>
      <w:r>
        <w:t xml:space="preserve">Dr. </w:t>
      </w:r>
      <w:r w:rsidR="00F37E86">
        <w:t>****</w:t>
      </w:r>
      <w:r>
        <w:t xml:space="preserve">’s patient satisfaction scores have been consistently at or above the institutional average for Arkansas Children’s. Arkansas Children’s has utilized different scales over the course of Dr. </w:t>
      </w:r>
      <w:r w:rsidR="00F37E86">
        <w:t>****</w:t>
      </w:r>
      <w:r>
        <w:t xml:space="preserve">’s faculty appointment including the NRC-Patient Satisfaction </w:t>
      </w:r>
      <w:r>
        <w:t xml:space="preserve">Star Rating and Connect Scorecard and the Net Promoter Score (NPS). Dr. </w:t>
      </w:r>
      <w:r w:rsidR="00F37E86">
        <w:t>****</w:t>
      </w:r>
      <w:r>
        <w:t xml:space="preserve">’s star ratings have been above the institutional average in the 4.7-8 out of 5.0 range. Starting in 2018, Arkansas Children’s began publishing the NPS for each provider. NPS is a </w:t>
      </w:r>
      <w:r>
        <w:t xml:space="preserve">key metric measuring how likely patients are to recommend a provider or facility to family and friends.  Dr. </w:t>
      </w:r>
      <w:r w:rsidR="00F37E86">
        <w:t>****</w:t>
      </w:r>
      <w:r>
        <w:t xml:space="preserve">’s NPS scores have been favorable with &gt;90-100% reporting they would recommend provider/clinic.  In addition, Dr. </w:t>
      </w:r>
      <w:r w:rsidR="00F37E86">
        <w:t>****</w:t>
      </w:r>
      <w:r>
        <w:t xml:space="preserve"> has received numerous po</w:t>
      </w:r>
      <w:r>
        <w:t xml:space="preserve">sitive comments on patient satisfaction reports. A sample of representative Connect Scorecards, Star ratings, NPS scores and verified patient comments </w:t>
      </w:r>
      <w:proofErr w:type="gramStart"/>
      <w:r>
        <w:t>are listed</w:t>
      </w:r>
      <w:proofErr w:type="gramEnd"/>
      <w:r>
        <w:rPr>
          <w:spacing w:val="-16"/>
        </w:rPr>
        <w:t xml:space="preserve"> </w:t>
      </w:r>
      <w:r>
        <w:t>below.</w:t>
      </w:r>
    </w:p>
    <w:p w14:paraId="7620690F" w14:textId="10D6CC7F" w:rsidR="00EE09CE" w:rsidRDefault="009C147B">
      <w:pPr>
        <w:pStyle w:val="BodyText"/>
        <w:spacing w:before="8"/>
        <w:rPr>
          <w:sz w:val="18"/>
        </w:rPr>
      </w:pPr>
      <w:r>
        <w:rPr>
          <w:noProof/>
        </w:rPr>
        <w:pict w14:anchorId="2424316C">
          <v:rect id="_x0000_s1029" style="position:absolute;margin-left:15.75pt;margin-top:70.75pt;width:102pt;height:33.75pt;z-index:251657216" fillcolor="black [3200]" strokecolor="#f2f2f2 [3041]" strokeweight="3pt">
            <v:shadow on="t" type="perspective" color="#7f7f7f [1601]" opacity=".5" offset="1pt" offset2="-1pt"/>
          </v:rect>
        </w:pict>
      </w:r>
      <w:r w:rsidR="00F37E86">
        <w:rPr>
          <w:noProof/>
          <w:lang w:eastAsia="zh-CN"/>
        </w:rPr>
        <w:drawing>
          <wp:anchor distT="0" distB="0" distL="0" distR="0" simplePos="0" relativeHeight="251655168" behindDoc="0" locked="0" layoutInCell="1" allowOverlap="1" wp14:anchorId="4C833B66" wp14:editId="618A8980">
            <wp:simplePos x="0" y="0"/>
            <wp:positionH relativeFrom="page">
              <wp:posOffset>640080</wp:posOffset>
            </wp:positionH>
            <wp:positionV relativeFrom="paragraph">
              <wp:posOffset>161275</wp:posOffset>
            </wp:positionV>
            <wp:extent cx="6407527" cy="523646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407527" cy="5236463"/>
                    </a:xfrm>
                    <a:prstGeom prst="rect">
                      <a:avLst/>
                    </a:prstGeom>
                  </pic:spPr>
                </pic:pic>
              </a:graphicData>
            </a:graphic>
          </wp:anchor>
        </w:drawing>
      </w:r>
    </w:p>
    <w:p w14:paraId="546B5930" w14:textId="77777777" w:rsidR="00EE09CE" w:rsidRDefault="00EE09CE">
      <w:pPr>
        <w:rPr>
          <w:sz w:val="18"/>
        </w:rPr>
        <w:sectPr w:rsidR="00EE09CE">
          <w:pgSz w:w="12240" w:h="15840"/>
          <w:pgMar w:top="940" w:right="900" w:bottom="280" w:left="900" w:header="720" w:footer="720" w:gutter="0"/>
          <w:cols w:space="720"/>
        </w:sectPr>
      </w:pPr>
    </w:p>
    <w:p w14:paraId="35496047" w14:textId="77777777" w:rsidR="00EE09CE" w:rsidRDefault="009C147B">
      <w:pPr>
        <w:pStyle w:val="BodyText"/>
        <w:ind w:left="108"/>
        <w:rPr>
          <w:sz w:val="20"/>
        </w:rPr>
      </w:pPr>
      <w:r>
        <w:rPr>
          <w:noProof/>
          <w:sz w:val="20"/>
          <w:lang w:eastAsia="zh-CN"/>
        </w:rPr>
        <w:lastRenderedPageBreak/>
        <w:drawing>
          <wp:inline distT="0" distB="0" distL="0" distR="0" wp14:anchorId="1AC9DE5A" wp14:editId="4D63D6EB">
            <wp:extent cx="4925374" cy="11106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925374" cy="1110615"/>
                    </a:xfrm>
                    <a:prstGeom prst="rect">
                      <a:avLst/>
                    </a:prstGeom>
                  </pic:spPr>
                </pic:pic>
              </a:graphicData>
            </a:graphic>
          </wp:inline>
        </w:drawing>
      </w:r>
    </w:p>
    <w:p w14:paraId="5AFF5577" w14:textId="77777777" w:rsidR="00EE09CE" w:rsidRDefault="00EE09CE">
      <w:pPr>
        <w:pStyle w:val="BodyText"/>
        <w:rPr>
          <w:sz w:val="20"/>
        </w:rPr>
      </w:pPr>
    </w:p>
    <w:p w14:paraId="107E8FA0" w14:textId="77777777" w:rsidR="00EE09CE" w:rsidRDefault="00EE09CE">
      <w:pPr>
        <w:pStyle w:val="BodyText"/>
        <w:rPr>
          <w:sz w:val="20"/>
        </w:rPr>
      </w:pPr>
    </w:p>
    <w:p w14:paraId="625894FC" w14:textId="77777777" w:rsidR="00EE09CE" w:rsidRDefault="00EE09CE">
      <w:pPr>
        <w:pStyle w:val="BodyText"/>
        <w:rPr>
          <w:sz w:val="20"/>
        </w:rPr>
      </w:pPr>
    </w:p>
    <w:p w14:paraId="7B5879A9" w14:textId="77777777" w:rsidR="00EE09CE" w:rsidRDefault="00EE09CE">
      <w:pPr>
        <w:pStyle w:val="BodyText"/>
        <w:rPr>
          <w:sz w:val="20"/>
        </w:rPr>
      </w:pPr>
    </w:p>
    <w:p w14:paraId="0C403ABD" w14:textId="77777777" w:rsidR="00EE09CE" w:rsidRDefault="00EE09CE">
      <w:pPr>
        <w:pStyle w:val="BodyText"/>
        <w:rPr>
          <w:sz w:val="20"/>
        </w:rPr>
      </w:pPr>
    </w:p>
    <w:p w14:paraId="171A1F55" w14:textId="77777777" w:rsidR="00EE09CE" w:rsidRDefault="00EE09CE">
      <w:pPr>
        <w:pStyle w:val="BodyText"/>
        <w:rPr>
          <w:sz w:val="20"/>
        </w:rPr>
      </w:pPr>
    </w:p>
    <w:p w14:paraId="6030BBF8" w14:textId="1E0F1B39" w:rsidR="00EE09CE" w:rsidRDefault="009C147B">
      <w:pPr>
        <w:pStyle w:val="BodyText"/>
        <w:spacing w:before="6"/>
        <w:rPr>
          <w:sz w:val="21"/>
        </w:rPr>
      </w:pPr>
      <w:r>
        <w:rPr>
          <w:noProof/>
        </w:rPr>
        <w:pict w14:anchorId="2424316C">
          <v:rect id="_x0000_s1030" style="position:absolute;margin-left:29.25pt;margin-top:32.05pt;width:166.5pt;height:33.75pt;z-index:251658240" fillcolor="black [3200]" strokecolor="#f2f2f2 [3041]" strokeweight="3pt">
            <v:shadow on="t" type="perspective" color="#7f7f7f [1601]" opacity=".5" offset="1pt" offset2="-1pt"/>
          </v:rect>
        </w:pict>
      </w:r>
      <w:r w:rsidR="00F37E86">
        <w:rPr>
          <w:noProof/>
          <w:lang w:eastAsia="zh-CN"/>
        </w:rPr>
        <w:drawing>
          <wp:anchor distT="0" distB="0" distL="0" distR="0" simplePos="0" relativeHeight="251653120" behindDoc="0" locked="0" layoutInCell="1" allowOverlap="1" wp14:anchorId="0A38E65E" wp14:editId="43EA5454">
            <wp:simplePos x="0" y="0"/>
            <wp:positionH relativeFrom="page">
              <wp:posOffset>640080</wp:posOffset>
            </wp:positionH>
            <wp:positionV relativeFrom="paragraph">
              <wp:posOffset>182319</wp:posOffset>
            </wp:positionV>
            <wp:extent cx="5877779" cy="349300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877779" cy="3493008"/>
                    </a:xfrm>
                    <a:prstGeom prst="rect">
                      <a:avLst/>
                    </a:prstGeom>
                  </pic:spPr>
                </pic:pic>
              </a:graphicData>
            </a:graphic>
          </wp:anchor>
        </w:drawing>
      </w:r>
      <w:r w:rsidR="00F37E86">
        <w:rPr>
          <w:noProof/>
          <w:lang w:eastAsia="zh-CN"/>
        </w:rPr>
        <w:drawing>
          <wp:anchor distT="0" distB="0" distL="0" distR="0" simplePos="0" relativeHeight="251654144" behindDoc="0" locked="0" layoutInCell="1" allowOverlap="1" wp14:anchorId="0FB1EC7E" wp14:editId="37CA464F">
            <wp:simplePos x="0" y="0"/>
            <wp:positionH relativeFrom="page">
              <wp:posOffset>640080</wp:posOffset>
            </wp:positionH>
            <wp:positionV relativeFrom="paragraph">
              <wp:posOffset>3850600</wp:posOffset>
            </wp:positionV>
            <wp:extent cx="5851386" cy="246030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5851386" cy="2460307"/>
                    </a:xfrm>
                    <a:prstGeom prst="rect">
                      <a:avLst/>
                    </a:prstGeom>
                  </pic:spPr>
                </pic:pic>
              </a:graphicData>
            </a:graphic>
          </wp:anchor>
        </w:drawing>
      </w:r>
    </w:p>
    <w:p w14:paraId="48A80CDC" w14:textId="48201391" w:rsidR="00EE09CE" w:rsidRDefault="009C147B">
      <w:pPr>
        <w:pStyle w:val="BodyText"/>
        <w:spacing w:before="1"/>
        <w:rPr>
          <w:sz w:val="18"/>
        </w:rPr>
      </w:pPr>
      <w:r>
        <w:rPr>
          <w:noProof/>
        </w:rPr>
        <w:pict w14:anchorId="2424316C">
          <v:rect id="_x0000_s1031" style="position:absolute;margin-left:-4.5pt;margin-top:318.95pt;width:101.25pt;height:18pt;z-index:251659264" fillcolor="black [3200]" strokecolor="#f2f2f2 [3041]" strokeweight="3pt">
            <v:shadow on="t" type="perspective" color="#7f7f7f [1601]" opacity=".5" offset="1pt" offset2="-1pt"/>
          </v:rect>
        </w:pict>
      </w:r>
    </w:p>
    <w:p w14:paraId="72021FBF" w14:textId="77777777" w:rsidR="00EE09CE" w:rsidRDefault="00EE09CE">
      <w:pPr>
        <w:rPr>
          <w:sz w:val="18"/>
        </w:rPr>
        <w:sectPr w:rsidR="00EE09CE">
          <w:pgSz w:w="12240" w:h="15840"/>
          <w:pgMar w:top="1000" w:right="1720" w:bottom="280" w:left="900" w:header="720" w:footer="720" w:gutter="0"/>
          <w:cols w:space="720"/>
        </w:sectPr>
      </w:pPr>
    </w:p>
    <w:p w14:paraId="5688DBB2" w14:textId="77777777" w:rsidR="00EE09CE" w:rsidRDefault="009C147B">
      <w:pPr>
        <w:pStyle w:val="Heading1"/>
      </w:pPr>
      <w:r>
        <w:rPr>
          <w:color w:val="202429"/>
        </w:rPr>
        <w:lastRenderedPageBreak/>
        <w:t xml:space="preserve">Score: 10 </w:t>
      </w:r>
      <w:proofErr w:type="gramStart"/>
      <w:r>
        <w:rPr>
          <w:color w:val="202429"/>
        </w:rPr>
        <w:t>Extremely</w:t>
      </w:r>
      <w:proofErr w:type="gramEnd"/>
      <w:r>
        <w:rPr>
          <w:color w:val="202429"/>
        </w:rPr>
        <w:t xml:space="preserve"> likely</w:t>
      </w:r>
    </w:p>
    <w:p w14:paraId="5B611880" w14:textId="324D2661" w:rsidR="00EE09CE" w:rsidRDefault="009C147B">
      <w:pPr>
        <w:pStyle w:val="Heading2"/>
        <w:spacing w:line="300" w:lineRule="auto"/>
      </w:pPr>
      <w:r>
        <w:rPr>
          <w:color w:val="202429"/>
          <w:spacing w:val="-6"/>
        </w:rPr>
        <w:t xml:space="preserve">This </w:t>
      </w:r>
      <w:r>
        <w:rPr>
          <w:color w:val="202429"/>
          <w:spacing w:val="3"/>
        </w:rPr>
        <w:t xml:space="preserve">is </w:t>
      </w:r>
      <w:r>
        <w:rPr>
          <w:color w:val="202429"/>
          <w:spacing w:val="-7"/>
        </w:rPr>
        <w:t xml:space="preserve">the </w:t>
      </w:r>
      <w:r>
        <w:rPr>
          <w:color w:val="202429"/>
        </w:rPr>
        <w:t xml:space="preserve">first time I </w:t>
      </w:r>
      <w:r>
        <w:rPr>
          <w:color w:val="202429"/>
          <w:spacing w:val="-8"/>
        </w:rPr>
        <w:t xml:space="preserve">have </w:t>
      </w:r>
      <w:r>
        <w:rPr>
          <w:color w:val="202429"/>
        </w:rPr>
        <w:t xml:space="preserve">met Dr. </w:t>
      </w:r>
      <w:r w:rsidR="00507C5C">
        <w:rPr>
          <w:color w:val="202429"/>
        </w:rPr>
        <w:t>****</w:t>
      </w:r>
      <w:r>
        <w:rPr>
          <w:color w:val="202429"/>
        </w:rPr>
        <w:t xml:space="preserve"> </w:t>
      </w:r>
      <w:r>
        <w:rPr>
          <w:color w:val="202429"/>
          <w:spacing w:val="-5"/>
        </w:rPr>
        <w:t xml:space="preserve">and she </w:t>
      </w:r>
      <w:r>
        <w:rPr>
          <w:color w:val="202429"/>
          <w:spacing w:val="-3"/>
        </w:rPr>
        <w:t xml:space="preserve">was </w:t>
      </w:r>
      <w:r>
        <w:rPr>
          <w:color w:val="202429"/>
          <w:spacing w:val="-4"/>
        </w:rPr>
        <w:t xml:space="preserve">absolutely </w:t>
      </w:r>
      <w:r>
        <w:rPr>
          <w:color w:val="202429"/>
          <w:spacing w:val="-3"/>
        </w:rPr>
        <w:t xml:space="preserve">great, </w:t>
      </w:r>
      <w:r>
        <w:rPr>
          <w:color w:val="202429"/>
          <w:spacing w:val="-10"/>
        </w:rPr>
        <w:t xml:space="preserve">I've </w:t>
      </w:r>
      <w:r>
        <w:rPr>
          <w:color w:val="202429"/>
        </w:rPr>
        <w:t xml:space="preserve">been </w:t>
      </w:r>
      <w:r>
        <w:rPr>
          <w:color w:val="202429"/>
          <w:spacing w:val="-4"/>
        </w:rPr>
        <w:t xml:space="preserve">to </w:t>
      </w:r>
      <w:r>
        <w:rPr>
          <w:color w:val="202429"/>
          <w:spacing w:val="-7"/>
        </w:rPr>
        <w:t xml:space="preserve">the </w:t>
      </w:r>
      <w:r>
        <w:rPr>
          <w:color w:val="202429"/>
        </w:rPr>
        <w:t xml:space="preserve">clinic </w:t>
      </w:r>
      <w:r>
        <w:rPr>
          <w:color w:val="202429"/>
          <w:spacing w:val="-3"/>
        </w:rPr>
        <w:t xml:space="preserve">before </w:t>
      </w:r>
      <w:r>
        <w:rPr>
          <w:color w:val="202429"/>
          <w:spacing w:val="-5"/>
        </w:rPr>
        <w:t xml:space="preserve">and </w:t>
      </w:r>
      <w:r>
        <w:rPr>
          <w:color w:val="202429"/>
          <w:spacing w:val="-7"/>
        </w:rPr>
        <w:t xml:space="preserve">the </w:t>
      </w:r>
      <w:r>
        <w:rPr>
          <w:color w:val="202429"/>
          <w:spacing w:val="-6"/>
        </w:rPr>
        <w:t xml:space="preserve">nurses </w:t>
      </w:r>
      <w:r>
        <w:rPr>
          <w:color w:val="202429"/>
          <w:spacing w:val="-4"/>
        </w:rPr>
        <w:t xml:space="preserve">were </w:t>
      </w:r>
      <w:r>
        <w:rPr>
          <w:color w:val="202429"/>
          <w:spacing w:val="-6"/>
        </w:rPr>
        <w:t xml:space="preserve">always </w:t>
      </w:r>
      <w:r>
        <w:rPr>
          <w:color w:val="202429"/>
        </w:rPr>
        <w:t xml:space="preserve">nice </w:t>
      </w:r>
      <w:r>
        <w:rPr>
          <w:color w:val="202429"/>
          <w:spacing w:val="-5"/>
        </w:rPr>
        <w:t xml:space="preserve">and </w:t>
      </w:r>
      <w:r>
        <w:rPr>
          <w:color w:val="202429"/>
          <w:spacing w:val="-7"/>
        </w:rPr>
        <w:t xml:space="preserve">helpful, </w:t>
      </w:r>
      <w:r>
        <w:rPr>
          <w:color w:val="202429"/>
        </w:rPr>
        <w:t xml:space="preserve">I </w:t>
      </w:r>
      <w:r>
        <w:rPr>
          <w:color w:val="202429"/>
          <w:spacing w:val="-7"/>
        </w:rPr>
        <w:t xml:space="preserve">love </w:t>
      </w:r>
      <w:r>
        <w:rPr>
          <w:color w:val="202429"/>
          <w:spacing w:val="-5"/>
        </w:rPr>
        <w:t xml:space="preserve">her </w:t>
      </w:r>
      <w:r>
        <w:rPr>
          <w:color w:val="202429"/>
        </w:rPr>
        <w:t xml:space="preserve">specialty </w:t>
      </w:r>
      <w:r>
        <w:rPr>
          <w:color w:val="202429"/>
          <w:spacing w:val="-6"/>
        </w:rPr>
        <w:t xml:space="preserve">nurse, </w:t>
      </w:r>
      <w:r>
        <w:rPr>
          <w:color w:val="202429"/>
          <w:spacing w:val="-3"/>
        </w:rPr>
        <w:t xml:space="preserve">Danielle </w:t>
      </w:r>
      <w:r>
        <w:rPr>
          <w:color w:val="202429"/>
          <w:spacing w:val="-5"/>
        </w:rPr>
        <w:t xml:space="preserve">she </w:t>
      </w:r>
      <w:r>
        <w:rPr>
          <w:color w:val="202429"/>
          <w:spacing w:val="-6"/>
        </w:rPr>
        <w:t xml:space="preserve">always </w:t>
      </w:r>
      <w:r>
        <w:rPr>
          <w:color w:val="202429"/>
        </w:rPr>
        <w:t xml:space="preserve">breaks </w:t>
      </w:r>
      <w:r>
        <w:rPr>
          <w:color w:val="202429"/>
          <w:spacing w:val="-7"/>
        </w:rPr>
        <w:t xml:space="preserve">everything </w:t>
      </w:r>
      <w:r>
        <w:rPr>
          <w:color w:val="202429"/>
          <w:spacing w:val="-3"/>
        </w:rPr>
        <w:t xml:space="preserve">down </w:t>
      </w:r>
      <w:r>
        <w:rPr>
          <w:color w:val="202429"/>
          <w:spacing w:val="-5"/>
        </w:rPr>
        <w:t xml:space="preserve">and </w:t>
      </w:r>
      <w:r>
        <w:rPr>
          <w:color w:val="202429"/>
          <w:spacing w:val="-4"/>
        </w:rPr>
        <w:t xml:space="preserve">lets </w:t>
      </w:r>
      <w:r>
        <w:rPr>
          <w:color w:val="202429"/>
          <w:spacing w:val="-3"/>
        </w:rPr>
        <w:t xml:space="preserve">me </w:t>
      </w:r>
      <w:r>
        <w:rPr>
          <w:color w:val="202429"/>
          <w:spacing w:val="-6"/>
        </w:rPr>
        <w:t xml:space="preserve">understand  what </w:t>
      </w:r>
      <w:r>
        <w:rPr>
          <w:color w:val="202429"/>
          <w:spacing w:val="-3"/>
        </w:rPr>
        <w:t xml:space="preserve">all </w:t>
      </w:r>
      <w:r>
        <w:rPr>
          <w:color w:val="202429"/>
          <w:spacing w:val="-5"/>
        </w:rPr>
        <w:t xml:space="preserve">these  </w:t>
      </w:r>
      <w:r>
        <w:rPr>
          <w:color w:val="202429"/>
          <w:spacing w:val="-3"/>
        </w:rPr>
        <w:t xml:space="preserve">tests </w:t>
      </w:r>
      <w:r>
        <w:rPr>
          <w:color w:val="202429"/>
        </w:rPr>
        <w:t>me</w:t>
      </w:r>
      <w:r>
        <w:rPr>
          <w:color w:val="202429"/>
        </w:rPr>
        <w:t xml:space="preserve">an </w:t>
      </w:r>
      <w:r>
        <w:rPr>
          <w:color w:val="202429"/>
          <w:spacing w:val="-5"/>
        </w:rPr>
        <w:t xml:space="preserve">and how </w:t>
      </w:r>
      <w:r>
        <w:rPr>
          <w:color w:val="202429"/>
          <w:spacing w:val="-7"/>
        </w:rPr>
        <w:t xml:space="preserve">they're </w:t>
      </w:r>
      <w:r>
        <w:rPr>
          <w:color w:val="202429"/>
        </w:rPr>
        <w:t xml:space="preserve">supposed </w:t>
      </w:r>
      <w:r>
        <w:rPr>
          <w:color w:val="202429"/>
          <w:spacing w:val="-4"/>
        </w:rPr>
        <w:t xml:space="preserve">to </w:t>
      </w:r>
      <w:r>
        <w:rPr>
          <w:color w:val="202429"/>
          <w:spacing w:val="-3"/>
        </w:rPr>
        <w:t xml:space="preserve">work. </w:t>
      </w:r>
      <w:r>
        <w:rPr>
          <w:color w:val="202429"/>
        </w:rPr>
        <w:t xml:space="preserve">I </w:t>
      </w:r>
      <w:r>
        <w:rPr>
          <w:color w:val="202429"/>
          <w:spacing w:val="-7"/>
        </w:rPr>
        <w:t xml:space="preserve">would </w:t>
      </w:r>
      <w:r>
        <w:rPr>
          <w:color w:val="202429"/>
        </w:rPr>
        <w:t xml:space="preserve">most </w:t>
      </w:r>
      <w:r>
        <w:rPr>
          <w:color w:val="202429"/>
          <w:spacing w:val="-3"/>
        </w:rPr>
        <w:t xml:space="preserve">definitely </w:t>
      </w:r>
      <w:r>
        <w:rPr>
          <w:color w:val="202429"/>
          <w:spacing w:val="-4"/>
        </w:rPr>
        <w:t xml:space="preserve">recommend </w:t>
      </w:r>
      <w:r>
        <w:rPr>
          <w:color w:val="202429"/>
        </w:rPr>
        <w:t xml:space="preserve">Dr. </w:t>
      </w:r>
      <w:r w:rsidR="00F37E86">
        <w:rPr>
          <w:color w:val="202429"/>
          <w:spacing w:val="-4"/>
        </w:rPr>
        <w:t>****</w:t>
      </w:r>
      <w:r>
        <w:rPr>
          <w:color w:val="202429"/>
          <w:spacing w:val="-4"/>
        </w:rPr>
        <w:t xml:space="preserve"> </w:t>
      </w:r>
      <w:r>
        <w:rPr>
          <w:color w:val="202429"/>
          <w:spacing w:val="-5"/>
        </w:rPr>
        <w:t xml:space="preserve">and </w:t>
      </w:r>
      <w:r>
        <w:rPr>
          <w:color w:val="202429"/>
          <w:spacing w:val="-7"/>
        </w:rPr>
        <w:t xml:space="preserve">the </w:t>
      </w:r>
      <w:r>
        <w:rPr>
          <w:color w:val="202429"/>
          <w:spacing w:val="-8"/>
        </w:rPr>
        <w:t xml:space="preserve">Immunology </w:t>
      </w:r>
      <w:r>
        <w:rPr>
          <w:color w:val="202429"/>
        </w:rPr>
        <w:t xml:space="preserve">clinic. </w:t>
      </w:r>
      <w:proofErr w:type="gramStart"/>
      <w:r>
        <w:rPr>
          <w:color w:val="202429"/>
          <w:spacing w:val="-9"/>
        </w:rPr>
        <w:t>They've</w:t>
      </w:r>
      <w:proofErr w:type="gramEnd"/>
      <w:r>
        <w:rPr>
          <w:color w:val="202429"/>
          <w:spacing w:val="-9"/>
        </w:rPr>
        <w:t xml:space="preserve"> </w:t>
      </w:r>
      <w:r>
        <w:rPr>
          <w:color w:val="202429"/>
        </w:rPr>
        <w:t xml:space="preserve">been </w:t>
      </w:r>
      <w:r>
        <w:rPr>
          <w:color w:val="202429"/>
          <w:spacing w:val="-6"/>
        </w:rPr>
        <w:t xml:space="preserve">very </w:t>
      </w:r>
      <w:r>
        <w:rPr>
          <w:color w:val="202429"/>
          <w:spacing w:val="-7"/>
        </w:rPr>
        <w:t xml:space="preserve">helpful </w:t>
      </w:r>
      <w:r>
        <w:rPr>
          <w:color w:val="202429"/>
          <w:spacing w:val="-4"/>
        </w:rPr>
        <w:t xml:space="preserve">to </w:t>
      </w:r>
      <w:r>
        <w:rPr>
          <w:color w:val="202429"/>
          <w:spacing w:val="-3"/>
        </w:rPr>
        <w:t xml:space="preserve">me </w:t>
      </w:r>
      <w:r>
        <w:rPr>
          <w:color w:val="202429"/>
          <w:spacing w:val="-5"/>
        </w:rPr>
        <w:t xml:space="preserve">and </w:t>
      </w:r>
      <w:r>
        <w:rPr>
          <w:color w:val="202429"/>
          <w:spacing w:val="-3"/>
        </w:rPr>
        <w:t xml:space="preserve">my </w:t>
      </w:r>
      <w:r>
        <w:rPr>
          <w:color w:val="202429"/>
          <w:spacing w:val="-5"/>
        </w:rPr>
        <w:t xml:space="preserve">daughter.  </w:t>
      </w:r>
      <w:r>
        <w:rPr>
          <w:color w:val="202429"/>
          <w:spacing w:val="-9"/>
        </w:rPr>
        <w:t>Thank</w:t>
      </w:r>
      <w:r>
        <w:rPr>
          <w:color w:val="202429"/>
          <w:spacing w:val="26"/>
        </w:rPr>
        <w:t xml:space="preserve"> </w:t>
      </w:r>
      <w:r>
        <w:rPr>
          <w:color w:val="202429"/>
          <w:spacing w:val="-8"/>
        </w:rPr>
        <w:t>you.</w:t>
      </w:r>
    </w:p>
    <w:p w14:paraId="36F5C25D" w14:textId="77777777" w:rsidR="00EE09CE" w:rsidRDefault="009C147B">
      <w:pPr>
        <w:spacing w:before="148" w:after="19"/>
        <w:ind w:left="107" w:right="7123"/>
        <w:rPr>
          <w:sz w:val="21"/>
        </w:rPr>
      </w:pPr>
      <w:r>
        <w:rPr>
          <w:color w:val="202429"/>
          <w:sz w:val="21"/>
        </w:rPr>
        <w:t xml:space="preserve">ACH Immunology Clinic Visit date: </w:t>
      </w:r>
      <w:proofErr w:type="gramStart"/>
      <w:r>
        <w:rPr>
          <w:color w:val="202429"/>
          <w:sz w:val="21"/>
        </w:rPr>
        <w:t>June  10</w:t>
      </w:r>
      <w:proofErr w:type="gramEnd"/>
      <w:r>
        <w:rPr>
          <w:color w:val="202429"/>
          <w:sz w:val="21"/>
        </w:rPr>
        <w:t>, 2019</w:t>
      </w:r>
    </w:p>
    <w:p w14:paraId="0D2E37CA" w14:textId="1F9D8745" w:rsidR="00EE09CE" w:rsidRDefault="009C147B">
      <w:pPr>
        <w:pStyle w:val="BodyText"/>
        <w:ind w:left="108"/>
        <w:rPr>
          <w:sz w:val="20"/>
        </w:rPr>
      </w:pPr>
      <w:r>
        <w:rPr>
          <w:noProof/>
        </w:rPr>
        <w:pict w14:anchorId="2424316C">
          <v:rect id="_x0000_s1033" style="position:absolute;left:0;text-align:left;margin-left:25.5pt;margin-top:29pt;width:45.75pt;height:18pt;z-index:251660288" fillcolor="black [3200]" strokecolor="#f2f2f2 [3041]" strokeweight="3pt">
            <v:shadow on="t" type="perspective" color="#7f7f7f [1601]" opacity=".5" offset="1pt" offset2="-1pt"/>
          </v:rect>
        </w:pict>
      </w:r>
      <w:r w:rsidR="00F37E86">
        <w:rPr>
          <w:noProof/>
          <w:sz w:val="20"/>
          <w:lang w:eastAsia="zh-CN"/>
        </w:rPr>
        <w:drawing>
          <wp:inline distT="0" distB="0" distL="0" distR="0" wp14:anchorId="65F828CD" wp14:editId="7C423415">
            <wp:extent cx="5940912" cy="272491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5940912" cy="2724912"/>
                    </a:xfrm>
                    <a:prstGeom prst="rect">
                      <a:avLst/>
                    </a:prstGeom>
                  </pic:spPr>
                </pic:pic>
              </a:graphicData>
            </a:graphic>
          </wp:inline>
        </w:drawing>
      </w:r>
    </w:p>
    <w:p w14:paraId="411EF73B" w14:textId="10B9C5B1" w:rsidR="00EE09CE" w:rsidRDefault="009C147B">
      <w:pPr>
        <w:pStyle w:val="BodyText"/>
        <w:spacing w:before="9"/>
        <w:rPr>
          <w:sz w:val="20"/>
        </w:rPr>
      </w:pPr>
      <w:r>
        <w:rPr>
          <w:noProof/>
        </w:rPr>
        <w:pict w14:anchorId="2424316C">
          <v:rect id="_x0000_s1036" style="position:absolute;margin-left:24.75pt;margin-top:212.7pt;width:47.25pt;height:18pt;z-index:251662336" fillcolor="black [3200]" strokecolor="#f2f2f2 [3041]" strokeweight="3pt">
            <v:shadow on="t" type="perspective" color="#7f7f7f [1601]" opacity=".5" offset="1pt" offset2="-1pt"/>
          </v:rect>
        </w:pict>
      </w:r>
      <w:r>
        <w:rPr>
          <w:noProof/>
        </w:rPr>
        <w:pict w14:anchorId="2424316C">
          <v:rect id="_x0000_s1035" style="position:absolute;margin-left:22.5pt;margin-top:44.7pt;width:78.75pt;height:18pt;z-index:251661312" fillcolor="black [3200]" strokecolor="#f2f2f2 [3041]" strokeweight="3pt">
            <v:shadow on="t" type="perspective" color="#7f7f7f [1601]" opacity=".5" offset="1pt" offset2="-1pt"/>
          </v:rect>
        </w:pict>
      </w:r>
      <w:r>
        <w:pict w14:anchorId="12D51440">
          <v:group id="_x0000_s1026" style="position:absolute;margin-left:50.4pt;margin-top:13.9pt;width:468.05pt;height:261.6pt;z-index:251656192;mso-wrap-distance-left:0;mso-wrap-distance-right:0;mso-position-horizontal-relative:page" coordorigin="1008,278" coordsize="9361,5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08;top:278;width:9121;height:3331">
              <v:imagedata r:id="rId10" o:title=""/>
            </v:shape>
            <v:shape id="_x0000_s1027" type="#_x0000_t75" style="position:absolute;left:1008;top:3609;width:9361;height:1901">
              <v:imagedata r:id="rId11" o:title=""/>
            </v:shape>
            <w10:wrap type="topAndBottom" anchorx="page"/>
          </v:group>
        </w:pict>
      </w:r>
    </w:p>
    <w:p w14:paraId="5BFF6AC6" w14:textId="77777777" w:rsidR="00EE09CE" w:rsidRDefault="00EE09CE">
      <w:pPr>
        <w:rPr>
          <w:sz w:val="20"/>
        </w:rPr>
        <w:sectPr w:rsidR="00EE09CE">
          <w:pgSz w:w="12240" w:h="15840"/>
          <w:pgMar w:top="1080" w:right="1720" w:bottom="280" w:left="900" w:header="720" w:footer="720" w:gutter="0"/>
          <w:cols w:space="720"/>
        </w:sectPr>
      </w:pPr>
    </w:p>
    <w:p w14:paraId="70B00DAF" w14:textId="4587F16F" w:rsidR="00EE09CE" w:rsidRDefault="009C147B">
      <w:pPr>
        <w:pStyle w:val="BodyText"/>
        <w:ind w:left="108"/>
        <w:rPr>
          <w:sz w:val="20"/>
        </w:rPr>
      </w:pPr>
      <w:r>
        <w:rPr>
          <w:noProof/>
          <w:sz w:val="20"/>
          <w:lang w:eastAsia="zh-CN"/>
        </w:rPr>
        <w:lastRenderedPageBreak/>
        <w:drawing>
          <wp:inline distT="0" distB="0" distL="0" distR="0" wp14:anchorId="1376903A" wp14:editId="4687C4A8">
            <wp:extent cx="5944235" cy="902207"/>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2" cstate="print"/>
                    <a:stretch>
                      <a:fillRect/>
                    </a:stretch>
                  </pic:blipFill>
                  <pic:spPr>
                    <a:xfrm>
                      <a:off x="0" y="0"/>
                      <a:ext cx="5944235" cy="902207"/>
                    </a:xfrm>
                    <a:prstGeom prst="rect">
                      <a:avLst/>
                    </a:prstGeom>
                  </pic:spPr>
                </pic:pic>
              </a:graphicData>
            </a:graphic>
          </wp:inline>
        </w:drawing>
      </w:r>
    </w:p>
    <w:p w14:paraId="2D09F806" w14:textId="77777777" w:rsidR="00EE09CE" w:rsidRDefault="00EE09CE">
      <w:pPr>
        <w:pStyle w:val="BodyText"/>
        <w:spacing w:before="3"/>
        <w:rPr>
          <w:sz w:val="7"/>
        </w:rPr>
      </w:pPr>
    </w:p>
    <w:p w14:paraId="727CC4FC" w14:textId="77777777" w:rsidR="00EE09CE" w:rsidRDefault="009C147B">
      <w:pPr>
        <w:pStyle w:val="Heading1"/>
        <w:spacing w:before="96"/>
        <w:ind w:left="123"/>
      </w:pPr>
      <w:r>
        <w:rPr>
          <w:color w:val="202429"/>
        </w:rPr>
        <w:t xml:space="preserve">Score: 10 </w:t>
      </w:r>
      <w:proofErr w:type="gramStart"/>
      <w:r>
        <w:rPr>
          <w:color w:val="202429"/>
        </w:rPr>
        <w:t>Extremely</w:t>
      </w:r>
      <w:proofErr w:type="gramEnd"/>
      <w:r>
        <w:rPr>
          <w:color w:val="202429"/>
        </w:rPr>
        <w:t xml:space="preserve"> likely</w:t>
      </w:r>
    </w:p>
    <w:p w14:paraId="379DEA56" w14:textId="46CA836B" w:rsidR="00EE09CE" w:rsidRDefault="009C147B">
      <w:pPr>
        <w:pStyle w:val="Heading2"/>
        <w:spacing w:before="228" w:line="304" w:lineRule="auto"/>
        <w:ind w:left="123"/>
      </w:pPr>
      <w:r>
        <w:rPr>
          <w:color w:val="202429"/>
          <w:spacing w:val="-3"/>
        </w:rPr>
        <w:t xml:space="preserve">Even </w:t>
      </w:r>
      <w:r>
        <w:rPr>
          <w:color w:val="202429"/>
          <w:spacing w:val="-6"/>
        </w:rPr>
        <w:t xml:space="preserve">though there </w:t>
      </w:r>
      <w:r>
        <w:rPr>
          <w:color w:val="202429"/>
          <w:spacing w:val="-3"/>
        </w:rPr>
        <w:t xml:space="preserve">was </w:t>
      </w:r>
      <w:r>
        <w:rPr>
          <w:color w:val="202429"/>
        </w:rPr>
        <w:t xml:space="preserve">an </w:t>
      </w:r>
      <w:r>
        <w:rPr>
          <w:color w:val="202429"/>
          <w:spacing w:val="-3"/>
        </w:rPr>
        <w:t xml:space="preserve">emergency </w:t>
      </w:r>
      <w:r>
        <w:rPr>
          <w:color w:val="202429"/>
          <w:spacing w:val="-5"/>
        </w:rPr>
        <w:t xml:space="preserve">and our </w:t>
      </w:r>
      <w:r>
        <w:rPr>
          <w:color w:val="202429"/>
          <w:spacing w:val="-3"/>
        </w:rPr>
        <w:t xml:space="preserve">appointment was delayed, </w:t>
      </w:r>
      <w:r>
        <w:rPr>
          <w:color w:val="202429"/>
        </w:rPr>
        <w:t xml:space="preserve">Dr. </w:t>
      </w:r>
      <w:r w:rsidR="00F37E86">
        <w:rPr>
          <w:color w:val="202429"/>
          <w:spacing w:val="-4"/>
        </w:rPr>
        <w:t>****</w:t>
      </w:r>
      <w:r>
        <w:rPr>
          <w:color w:val="202429"/>
          <w:spacing w:val="58"/>
        </w:rPr>
        <w:t xml:space="preserve"> </w:t>
      </w:r>
      <w:r>
        <w:rPr>
          <w:color w:val="202429"/>
          <w:spacing w:val="-3"/>
        </w:rPr>
        <w:t xml:space="preserve">was </w:t>
      </w:r>
      <w:r>
        <w:rPr>
          <w:color w:val="202429"/>
          <w:spacing w:val="-5"/>
        </w:rPr>
        <w:t xml:space="preserve">thorough and </w:t>
      </w:r>
      <w:proofErr w:type="gramStart"/>
      <w:r>
        <w:rPr>
          <w:color w:val="202429"/>
        </w:rPr>
        <w:t>didn't</w:t>
      </w:r>
      <w:proofErr w:type="gramEnd"/>
      <w:r>
        <w:rPr>
          <w:color w:val="202429"/>
        </w:rPr>
        <w:t xml:space="preserve"> </w:t>
      </w:r>
      <w:r>
        <w:rPr>
          <w:color w:val="202429"/>
          <w:spacing w:val="-5"/>
        </w:rPr>
        <w:t xml:space="preserve">not rush our </w:t>
      </w:r>
      <w:r>
        <w:rPr>
          <w:color w:val="202429"/>
          <w:spacing w:val="-2"/>
        </w:rPr>
        <w:t xml:space="preserve">visit. </w:t>
      </w:r>
      <w:r>
        <w:rPr>
          <w:color w:val="202429"/>
        </w:rPr>
        <w:t xml:space="preserve">We appreciate </w:t>
      </w:r>
      <w:r>
        <w:rPr>
          <w:color w:val="202429"/>
          <w:spacing w:val="-5"/>
        </w:rPr>
        <w:t xml:space="preserve">her </w:t>
      </w:r>
      <w:r>
        <w:rPr>
          <w:color w:val="202429"/>
        </w:rPr>
        <w:t xml:space="preserve">knowledge </w:t>
      </w:r>
      <w:r>
        <w:rPr>
          <w:color w:val="202429"/>
          <w:spacing w:val="-5"/>
        </w:rPr>
        <w:t xml:space="preserve">and gentle </w:t>
      </w:r>
      <w:r>
        <w:rPr>
          <w:color w:val="202429"/>
        </w:rPr>
        <w:t xml:space="preserve">spirit </w:t>
      </w:r>
      <w:proofErr w:type="gramStart"/>
      <w:r>
        <w:rPr>
          <w:color w:val="202429"/>
          <w:spacing w:val="-3"/>
        </w:rPr>
        <w:t xml:space="preserve">with  </w:t>
      </w:r>
      <w:r>
        <w:rPr>
          <w:color w:val="202429"/>
          <w:spacing w:val="-5"/>
        </w:rPr>
        <w:t>our</w:t>
      </w:r>
      <w:proofErr w:type="gramEnd"/>
      <w:r>
        <w:rPr>
          <w:color w:val="202429"/>
          <w:spacing w:val="19"/>
        </w:rPr>
        <w:t xml:space="preserve"> </w:t>
      </w:r>
      <w:r>
        <w:rPr>
          <w:color w:val="202429"/>
          <w:spacing w:val="-5"/>
        </w:rPr>
        <w:t>daughter.</w:t>
      </w:r>
    </w:p>
    <w:p w14:paraId="4033C992" w14:textId="77777777" w:rsidR="00EE09CE" w:rsidRDefault="009C147B">
      <w:pPr>
        <w:spacing w:before="153" w:line="304" w:lineRule="auto"/>
        <w:ind w:left="123" w:right="7123"/>
        <w:rPr>
          <w:sz w:val="21"/>
        </w:rPr>
      </w:pPr>
      <w:r>
        <w:rPr>
          <w:color w:val="202429"/>
          <w:sz w:val="21"/>
        </w:rPr>
        <w:t>ACH Immunology Clinic Visit date: April 5, 2021</w:t>
      </w:r>
    </w:p>
    <w:p w14:paraId="1DC8C833" w14:textId="77777777" w:rsidR="00EE09CE" w:rsidRDefault="00EE09CE">
      <w:pPr>
        <w:pStyle w:val="BodyText"/>
        <w:rPr>
          <w:sz w:val="20"/>
        </w:rPr>
      </w:pPr>
    </w:p>
    <w:p w14:paraId="3AB4FE0E" w14:textId="0B4604E5" w:rsidR="00EE09CE" w:rsidRDefault="009C147B">
      <w:pPr>
        <w:pStyle w:val="BodyText"/>
        <w:spacing w:before="9"/>
        <w:rPr>
          <w:sz w:val="16"/>
        </w:rPr>
      </w:pPr>
      <w:r>
        <w:rPr>
          <w:noProof/>
        </w:rPr>
        <w:pict w14:anchorId="2424316C">
          <v:rect id="_x0000_s1037" style="position:absolute;margin-left:23.25pt;margin-top:39.65pt;width:45pt;height:18pt;z-index:251663360" fillcolor="black [3200]" strokecolor="#f2f2f2 [3041]" strokeweight="3pt">
            <v:shadow on="t" type="perspective" color="#7f7f7f [1601]" opacity=".5" offset="1pt" offset2="-1pt"/>
          </v:rect>
        </w:pict>
      </w:r>
      <w:r w:rsidR="00F37E86">
        <w:rPr>
          <w:noProof/>
          <w:lang w:eastAsia="zh-CN"/>
        </w:rPr>
        <w:drawing>
          <wp:anchor distT="0" distB="0" distL="0" distR="0" simplePos="0" relativeHeight="251652096" behindDoc="0" locked="0" layoutInCell="1" allowOverlap="1" wp14:anchorId="619034B9" wp14:editId="74439949">
            <wp:simplePos x="0" y="0"/>
            <wp:positionH relativeFrom="page">
              <wp:posOffset>640080</wp:posOffset>
            </wp:positionH>
            <wp:positionV relativeFrom="paragraph">
              <wp:posOffset>147320</wp:posOffset>
            </wp:positionV>
            <wp:extent cx="5942037" cy="1030224"/>
            <wp:effectExtent l="0" t="0" r="0" b="0"/>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3" cstate="print"/>
                    <a:stretch>
                      <a:fillRect/>
                    </a:stretch>
                  </pic:blipFill>
                  <pic:spPr>
                    <a:xfrm>
                      <a:off x="0" y="0"/>
                      <a:ext cx="5942037" cy="1030224"/>
                    </a:xfrm>
                    <a:prstGeom prst="rect">
                      <a:avLst/>
                    </a:prstGeom>
                  </pic:spPr>
                </pic:pic>
              </a:graphicData>
            </a:graphic>
          </wp:anchor>
        </w:drawing>
      </w:r>
    </w:p>
    <w:sectPr w:rsidR="00EE09CE">
      <w:pgSz w:w="12240" w:h="15840"/>
      <w:pgMar w:top="1000" w:right="17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33B3"/>
    <w:multiLevelType w:val="hybridMultilevel"/>
    <w:tmpl w:val="53403680"/>
    <w:lvl w:ilvl="0" w:tplc="354CEB96">
      <w:start w:val="1"/>
      <w:numFmt w:val="upperRoman"/>
      <w:lvlText w:val="%1."/>
      <w:lvlJc w:val="left"/>
      <w:pPr>
        <w:ind w:left="292" w:hanging="185"/>
        <w:jc w:val="left"/>
      </w:pPr>
      <w:rPr>
        <w:rFonts w:ascii="Arial" w:eastAsia="Arial" w:hAnsi="Arial" w:cs="Arial" w:hint="default"/>
        <w:b/>
        <w:bCs/>
        <w:w w:val="100"/>
        <w:sz w:val="22"/>
        <w:szCs w:val="22"/>
      </w:rPr>
    </w:lvl>
    <w:lvl w:ilvl="1" w:tplc="8C38CF62">
      <w:start w:val="1"/>
      <w:numFmt w:val="upperLetter"/>
      <w:lvlText w:val="%2."/>
      <w:lvlJc w:val="left"/>
      <w:pPr>
        <w:ind w:left="1250" w:hanging="423"/>
        <w:jc w:val="right"/>
      </w:pPr>
      <w:rPr>
        <w:rFonts w:hint="default"/>
        <w:b/>
        <w:bCs/>
        <w:spacing w:val="-6"/>
        <w:w w:val="100"/>
      </w:rPr>
    </w:lvl>
    <w:lvl w:ilvl="2" w:tplc="9814BB5E">
      <w:start w:val="1"/>
      <w:numFmt w:val="decimal"/>
      <w:lvlText w:val="%3."/>
      <w:lvlJc w:val="left"/>
      <w:pPr>
        <w:ind w:left="2628" w:hanging="423"/>
        <w:jc w:val="left"/>
      </w:pPr>
      <w:rPr>
        <w:rFonts w:ascii="Arial" w:eastAsia="Arial" w:hAnsi="Arial" w:cs="Arial" w:hint="default"/>
        <w:spacing w:val="-1"/>
        <w:w w:val="100"/>
        <w:sz w:val="22"/>
        <w:szCs w:val="22"/>
      </w:rPr>
    </w:lvl>
    <w:lvl w:ilvl="3" w:tplc="7CE24A54">
      <w:numFmt w:val="bullet"/>
      <w:lvlText w:val="•"/>
      <w:lvlJc w:val="left"/>
      <w:pPr>
        <w:ind w:left="2620" w:hanging="423"/>
      </w:pPr>
      <w:rPr>
        <w:rFonts w:hint="default"/>
      </w:rPr>
    </w:lvl>
    <w:lvl w:ilvl="4" w:tplc="F7C29564">
      <w:numFmt w:val="bullet"/>
      <w:lvlText w:val="•"/>
      <w:lvlJc w:val="left"/>
      <w:pPr>
        <w:ind w:left="3731" w:hanging="423"/>
      </w:pPr>
      <w:rPr>
        <w:rFonts w:hint="default"/>
      </w:rPr>
    </w:lvl>
    <w:lvl w:ilvl="5" w:tplc="88546A0E">
      <w:numFmt w:val="bullet"/>
      <w:lvlText w:val="•"/>
      <w:lvlJc w:val="left"/>
      <w:pPr>
        <w:ind w:left="4842" w:hanging="423"/>
      </w:pPr>
      <w:rPr>
        <w:rFonts w:hint="default"/>
      </w:rPr>
    </w:lvl>
    <w:lvl w:ilvl="6" w:tplc="F36E6532">
      <w:numFmt w:val="bullet"/>
      <w:lvlText w:val="•"/>
      <w:lvlJc w:val="left"/>
      <w:pPr>
        <w:ind w:left="5954" w:hanging="423"/>
      </w:pPr>
      <w:rPr>
        <w:rFonts w:hint="default"/>
      </w:rPr>
    </w:lvl>
    <w:lvl w:ilvl="7" w:tplc="96943864">
      <w:numFmt w:val="bullet"/>
      <w:lvlText w:val="•"/>
      <w:lvlJc w:val="left"/>
      <w:pPr>
        <w:ind w:left="7065" w:hanging="423"/>
      </w:pPr>
      <w:rPr>
        <w:rFonts w:hint="default"/>
      </w:rPr>
    </w:lvl>
    <w:lvl w:ilvl="8" w:tplc="E540882E">
      <w:numFmt w:val="bullet"/>
      <w:lvlText w:val="•"/>
      <w:lvlJc w:val="left"/>
      <w:pPr>
        <w:ind w:left="8177"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E09CE"/>
    <w:rsid w:val="004D4541"/>
    <w:rsid w:val="00507C5C"/>
    <w:rsid w:val="009C147B"/>
    <w:rsid w:val="00EE09CE"/>
    <w:rsid w:val="00F3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2A1FB5E"/>
  <w15:docId w15:val="{AC6B35C5-1F89-4FBF-8064-8A2ECB4C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7"/>
      <w:ind w:left="107"/>
      <w:outlineLvl w:val="0"/>
    </w:pPr>
    <w:rPr>
      <w:b/>
      <w:bCs/>
      <w:sz w:val="24"/>
      <w:szCs w:val="24"/>
    </w:rPr>
  </w:style>
  <w:style w:type="paragraph" w:styleId="Heading2">
    <w:name w:val="heading 2"/>
    <w:basedOn w:val="Normal"/>
    <w:uiPriority w:val="9"/>
    <w:unhideWhenUsed/>
    <w:qFormat/>
    <w:pPr>
      <w:spacing w:before="217"/>
      <w:ind w:left="107" w:right="491"/>
      <w:outlineLvl w:val="1"/>
    </w:pPr>
    <w:rPr>
      <w:sz w:val="24"/>
      <w:szCs w:val="24"/>
    </w:rPr>
  </w:style>
  <w:style w:type="paragraph" w:styleId="Heading3">
    <w:name w:val="heading 3"/>
    <w:basedOn w:val="Normal"/>
    <w:uiPriority w:val="9"/>
    <w:unhideWhenUsed/>
    <w:qFormat/>
    <w:pPr>
      <w:ind w:left="1188"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8" w:hanging="720"/>
    </w:pPr>
  </w:style>
  <w:style w:type="paragraph" w:customStyle="1" w:styleId="TableParagraph">
    <w:name w:val="Table Paragraph"/>
    <w:basedOn w:val="Normal"/>
    <w:uiPriority w:val="1"/>
    <w:qFormat/>
    <w:pPr>
      <w:ind w:left="416" w:right="45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Scurlock, Amy M</dc:creator>
  <cp:lastModifiedBy>Liu, Daojun</cp:lastModifiedBy>
  <cp:revision>2</cp:revision>
  <dcterms:created xsi:type="dcterms:W3CDTF">2024-10-21T15:53:00Z</dcterms:created>
  <dcterms:modified xsi:type="dcterms:W3CDTF">2024-10-21T15:53:00Z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2019</vt:lpwstr>
  </property>
  <property fmtid="{D5CDD505-2E9C-101B-9397-08002B2CF9AE}" pid="4" name="LastSaved">
    <vt:filetime>2024-10-07T00:00:00Z</vt:filetime>
  </property>
  <property fmtid="{D5CDD505-2E9C-101B-9397-08002B2CF9AE}" pid="5" name="MSIP_Label_8ca390d5-a4f3-448c-8368-24080179bc53_Enabled">
    <vt:lpwstr>true</vt:lpwstr>
  </property>
  <property fmtid="{D5CDD505-2E9C-101B-9397-08002B2CF9AE}" pid="6" name="MSIP_Label_8ca390d5-a4f3-448c-8368-24080179bc53_SetDate">
    <vt:lpwstr>2024-10-07T15:20:53Z</vt:lpwstr>
  </property>
  <property fmtid="{D5CDD505-2E9C-101B-9397-08002B2CF9AE}" pid="7" name="MSIP_Label_8ca390d5-a4f3-448c-8368-24080179bc53_Method">
    <vt:lpwstr>Standard</vt:lpwstr>
  </property>
  <property fmtid="{D5CDD505-2E9C-101B-9397-08002B2CF9AE}" pid="8" name="MSIP_Label_8ca390d5-a4f3-448c-8368-24080179bc53_Name">
    <vt:lpwstr>Low Risk</vt:lpwstr>
  </property>
  <property fmtid="{D5CDD505-2E9C-101B-9397-08002B2CF9AE}" pid="9" name="MSIP_Label_8ca390d5-a4f3-448c-8368-24080179bc53_SiteId">
    <vt:lpwstr>5b703aa0-061f-4ed9-beca-765a39ee1304</vt:lpwstr>
  </property>
  <property fmtid="{D5CDD505-2E9C-101B-9397-08002B2CF9AE}" pid="10" name="MSIP_Label_8ca390d5-a4f3-448c-8368-24080179bc53_ActionId">
    <vt:lpwstr>d34b6b6c-5e51-433c-a1d8-54ec39420755</vt:lpwstr>
  </property>
  <property fmtid="{D5CDD505-2E9C-101B-9397-08002B2CF9AE}" pid="11" name="MSIP_Label_8ca390d5-a4f3-448c-8368-24080179bc53_ContentBits">
    <vt:lpwstr>0</vt:lpwstr>
  </property>
</Properties>
</file>